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Delaware State Spending Evaluation</w:t>
        <w:br/>
        <w:t>Public Release Package</w:t>
      </w:r>
    </w:p>
    <w:p>
      <w:pPr>
        <w:jc w:val="center"/>
      </w:pPr>
      <w:r>
        <w:rPr>
          <w:i/>
          <w:sz w:val="22"/>
        </w:rPr>
        <w:t>Evidence-led summary of the exhibit record</w:t>
        <w:br/>
        <w:t>Public-facing release • pointed but careful • centered on State spending</w:t>
      </w:r>
    </w:p>
    <w:tbl>
      <w:tblPr>
        <w:tblW w:type="auto" w:w="0"/>
        <w:jc w:val="center"/>
        <w:tblLayout w:type="autofit"/>
        <w:tblLook w:firstColumn="1" w:firstRow="1" w:lastColumn="0" w:lastRow="0" w:noHBand="0" w:noVBand="1" w:val="04A0"/>
      </w:tblPr>
      <w:tblGrid>
        <w:gridCol w:w="3312"/>
        <w:gridCol w:w="3312"/>
        <w:gridCol w:w="3312"/>
      </w:tblGrid>
      <w:tr>
        <w:tc>
          <w:tcPr>
            <w:tcW w:type="dxa" w:w="3312"/>
            <w:shd w:fill="F7FAFC"/>
            <w:tcBorders>
              <w:left w:val="single" w:sz="8" w:color="D9E2EC"/>
              <w:top w:val="single" w:sz="8" w:color="D9E2EC"/>
              <w:right w:val="single" w:sz="8" w:color="D9E2EC"/>
              <w:bottom w:val="single" w:sz="8" w:color="D9E2EC"/>
            </w:tcBorders>
          </w:tcPr>
          <w:p>
            <w:pPr>
              <w:jc w:val="center"/>
            </w:pPr>
            <w:r>
              <w:rPr>
                <w:b/>
                <w:sz w:val="20"/>
              </w:rPr>
              <w:t>Topics covered</w:t>
              <w:br/>
            </w:r>
            <w:r>
              <w:rPr>
                <w:b/>
                <w:sz w:val="28"/>
              </w:rPr>
              <w:t>91</w:t>
            </w:r>
          </w:p>
        </w:tc>
        <w:tc>
          <w:tcPr>
            <w:tcW w:type="dxa" w:w="3312"/>
            <w:shd w:fill="F7FAFC"/>
            <w:tcBorders>
              <w:left w:val="single" w:sz="8" w:color="D9E2EC"/>
              <w:top w:val="single" w:sz="8" w:color="D9E2EC"/>
              <w:right w:val="single" w:sz="8" w:color="D9E2EC"/>
              <w:bottom w:val="single" w:sz="8" w:color="D9E2EC"/>
            </w:tcBorders>
          </w:tcPr>
          <w:p>
            <w:pPr>
              <w:jc w:val="center"/>
            </w:pPr>
            <w:r>
              <w:rPr>
                <w:b/>
                <w:sz w:val="20"/>
              </w:rPr>
              <w:t>Exhibit CSVs</w:t>
              <w:br/>
            </w:r>
            <w:r>
              <w:rPr>
                <w:b/>
                <w:sz w:val="28"/>
              </w:rPr>
              <w:t>273</w:t>
            </w:r>
          </w:p>
        </w:tc>
        <w:tc>
          <w:tcPr>
            <w:tcW w:type="dxa" w:w="3312"/>
            <w:shd w:fill="F7FAFC"/>
            <w:tcBorders>
              <w:left w:val="single" w:sz="8" w:color="D9E2EC"/>
              <w:top w:val="single" w:sz="8" w:color="D9E2EC"/>
              <w:right w:val="single" w:sz="8" w:color="D9E2EC"/>
              <w:bottom w:val="single" w:sz="8" w:color="D9E2EC"/>
            </w:tcBorders>
          </w:tcPr>
          <w:p>
            <w:pPr>
              <w:jc w:val="center"/>
            </w:pPr>
            <w:r>
              <w:rPr>
                <w:b/>
                <w:sz w:val="20"/>
              </w:rPr>
              <w:t>Row-level exhibit rows</w:t>
              <w:br/>
            </w:r>
            <w:r>
              <w:rPr>
                <w:b/>
                <w:sz w:val="28"/>
              </w:rPr>
              <w:t>927,769</w:t>
            </w:r>
          </w:p>
        </w:tc>
      </w:tr>
    </w:tbl>
    <w:p>
      <w:r>
        <w:t>This release is documentary in method. It does not treat every irregular row as proof of wrongdoing. It separates facial policy contradictions from rows that require supporting records and from rows that appear ordinary or operational on their face.</w:t>
      </w:r>
    </w:p>
    <w:p>
      <w:pPr>
        <w:pStyle w:val="Heading2"/>
      </w:pPr>
      <w:r>
        <w:t>Priority emphasis: school resort travel.</w:t>
      </w:r>
    </w:p>
    <w:p>
      <w:r>
        <w:t>The strongest public-facing priority in this package is the repeated appearance of school and school-adjacent agencies in resort, destination-lodging, airline, and related travel exhibits. That theme is presented first because it is easier for outside readers to follow than broader local-network or property-related concerns, while still relying on State spending data and policy language.</w:t>
      </w:r>
    </w:p>
    <w:p>
      <w:pPr>
        <w:pStyle w:val="Heading1"/>
      </w:pPr>
      <w:r>
        <w:t>Executive summary</w:t>
      </w:r>
    </w:p>
    <w:p>
      <w:pPr>
        <w:spacing w:after="80"/>
        <w:ind w:left="288"/>
      </w:pPr>
      <w:r>
        <w:t>• This package is built from the State’s own credit-card and checkbook datasets, the State policy manual, awarded-vendor snapshots, and exhibit files that separate strong contradictions from rows needing supporting records or ordinary context.</w:t>
      </w:r>
    </w:p>
    <w:p>
      <w:pPr>
        <w:spacing w:after="80"/>
        <w:ind w:left="288"/>
      </w:pPr>
      <w:r>
        <w:t>• The record now covers 91 topics and 273 exhibit CSVs, including 183 row-level exhibit files and 10 master-layer files used for consolidation, trip-chain screening, and school-sector review.</w:t>
      </w:r>
    </w:p>
    <w:p>
      <w:pPr>
        <w:spacing w:after="80"/>
        <w:ind w:left="288"/>
      </w:pPr>
      <w:r>
        <w:t>• The package’s main strength is structure: mixed keyword files were cleaned up, false matches were separated, school-sector rows were consolidated, and the strongest contradictions were isolated into dedicated exhibit packets.</w:t>
      </w:r>
    </w:p>
    <w:p>
      <w:pPr>
        <w:spacing w:after="80"/>
        <w:ind w:left="288"/>
      </w:pPr>
      <w:r>
        <w:t>• The top public-facing issue is school resort travel. Secondary priority areas include limousine/premium-car service, gift and recognition spending, alcohol- or entertainment-adjacent venues, fines/violations, and opaque online/procurement channels.</w:t>
      </w:r>
    </w:p>
    <w:p>
      <w:pPr>
        <w:spacing w:after="80"/>
        <w:ind w:left="288"/>
      </w:pPr>
      <w:r>
        <w:t>• This release is not a final accusation memo. It is an evidence package designed to be verifiable, readable, and difficult to dismiss on the ground that it confuses mixed files or overstates weak rows.</w:t>
      </w:r>
    </w:p>
    <w:p>
      <w:pPr>
        <w:pStyle w:val="Heading1"/>
      </w:pPr>
      <w:r>
        <w:t>Methodology and evidentiary standard</w:t>
      </w:r>
    </w:p>
    <w:p>
      <w:r>
        <w:t>Search terms were treated as retrieval tools, not proof of meaning. Files were reviewed to determine whether they were true topic files, agency slices, vendor files, same-dollar pattern files, processor files, or broad fragment matches.</w:t>
      </w:r>
    </w:p>
    <w:p>
      <w:r>
        <w:t>Each exhibit was organized into one or more buckets: strong contradiction or key follow-up; needs supporting records; likely ordinary or operational; and false match or excluded. This prevents broad or noisy files from being overstated.</w:t>
      </w:r>
    </w:p>
    <w:p>
      <w:r>
        <w:t>“Strong contradiction” means the row is facially difficult to reconcile with the stated policy purpose or travel rule on the face of the data alone. “Needs supporting records” means the row may still be explainable, but requires receipts, approvals, agendas, event records, traveler lists, or item-level support.</w:t>
      </w:r>
    </w:p>
    <w:p>
      <w:r>
        <w:t>Absence from an awarded-vendor list was not treated as automatic proof of impropriety. Awarded-vendor context is strongest on the checkbook side and weaker on the credit-card side because card data often uses merchant descriptors, processors, and location names rather than formal vendor names.</w:t>
      </w:r>
    </w:p>
    <w:p>
      <w:r>
        <w:t>This package uses a deliberately conservative standard. It avoids motive claims and reserves conclusions beyond what the record directly supports.</w:t>
      </w:r>
    </w:p>
    <w:p>
      <w:pPr>
        <w:pStyle w:val="Heading1"/>
      </w:pPr>
      <w:r>
        <w:t>Top findings for public release</w:t>
      </w:r>
    </w:p>
    <w:tbl>
      <w:tblPr>
        <w:tblStyle w:val="TableGrid"/>
        <w:tblW w:type="auto" w:w="0"/>
        <w:jc w:val="center"/>
        <w:tblLook w:firstColumn="1" w:firstRow="1" w:lastColumn="0" w:lastRow="0" w:noHBand="0" w:noVBand="1" w:val="04A0"/>
      </w:tblPr>
      <w:tblGrid>
        <w:gridCol w:w="1656"/>
        <w:gridCol w:w="1656"/>
        <w:gridCol w:w="1656"/>
        <w:gridCol w:w="1656"/>
        <w:gridCol w:w="1656"/>
        <w:gridCol w:w="1656"/>
      </w:tblGrid>
      <w:tr>
        <w:tc>
          <w:tcPr>
            <w:tcW w:type="dxa" w:w="720"/>
            <w:shd w:fill="EAF2F8"/>
            <w:vAlign w:val="center"/>
            <w:tcBorders>
              <w:left w:val="single" w:sz="8" w:color="D6DEE5"/>
              <w:top w:val="single" w:sz="8" w:color="B8C4CE"/>
              <w:right w:val="single" w:sz="8" w:color="D6DEE5"/>
              <w:bottom w:val="single" w:sz="8" w:color="B8C4CE"/>
            </w:tcBorders>
          </w:tcPr>
          <w:p>
            <w:r>
              <w:rPr>
                <w:b/>
                <w:sz w:val="18"/>
              </w:rPr>
              <w:t>Rank</w:t>
            </w:r>
          </w:p>
        </w:tc>
        <w:tc>
          <w:tcPr>
            <w:tcW w:type="dxa" w:w="2304"/>
            <w:shd w:fill="EAF2F8"/>
            <w:vAlign w:val="center"/>
            <w:tcBorders>
              <w:left w:val="single" w:sz="8" w:color="D6DEE5"/>
              <w:top w:val="single" w:sz="8" w:color="B8C4CE"/>
              <w:right w:val="single" w:sz="8" w:color="D6DEE5"/>
              <w:bottom w:val="single" w:sz="8" w:color="B8C4CE"/>
            </w:tcBorders>
          </w:tcPr>
          <w:p>
            <w:r>
              <w:rPr>
                <w:b/>
                <w:sz w:val="18"/>
              </w:rPr>
              <w:t>Finding</w:t>
            </w:r>
          </w:p>
        </w:tc>
        <w:tc>
          <w:tcPr>
            <w:tcW w:type="dxa" w:w="3024"/>
            <w:shd w:fill="EAF2F8"/>
            <w:vAlign w:val="center"/>
            <w:tcBorders>
              <w:left w:val="single" w:sz="8" w:color="D6DEE5"/>
              <w:top w:val="single" w:sz="8" w:color="B8C4CE"/>
              <w:right w:val="single" w:sz="8" w:color="D6DEE5"/>
              <w:bottom w:val="single" w:sz="8" w:color="B8C4CE"/>
            </w:tcBorders>
          </w:tcPr>
          <w:p>
            <w:r>
              <w:rPr>
                <w:b/>
                <w:sz w:val="18"/>
              </w:rPr>
              <w:t>Exhibit topics</w:t>
            </w:r>
          </w:p>
        </w:tc>
        <w:tc>
          <w:tcPr>
            <w:tcW w:type="dxa" w:w="1008"/>
            <w:shd w:fill="EAF2F8"/>
            <w:vAlign w:val="center"/>
            <w:tcBorders>
              <w:left w:val="single" w:sz="8" w:color="D6DEE5"/>
              <w:top w:val="single" w:sz="8" w:color="B8C4CE"/>
              <w:right w:val="single" w:sz="8" w:color="D6DEE5"/>
              <w:bottom w:val="single" w:sz="8" w:color="B8C4CE"/>
            </w:tcBorders>
          </w:tcPr>
          <w:p>
            <w:r>
              <w:rPr>
                <w:b/>
                <w:sz w:val="18"/>
              </w:rPr>
              <w:t>Rows</w:t>
            </w:r>
          </w:p>
        </w:tc>
        <w:tc>
          <w:tcPr>
            <w:tcW w:type="dxa" w:w="1440"/>
            <w:shd w:fill="EAF2F8"/>
            <w:vAlign w:val="center"/>
            <w:tcBorders>
              <w:left w:val="single" w:sz="8" w:color="D6DEE5"/>
              <w:top w:val="single" w:sz="8" w:color="B8C4CE"/>
              <w:right w:val="single" w:sz="8" w:color="D6DEE5"/>
              <w:bottom w:val="single" w:sz="8" w:color="B8C4CE"/>
            </w:tcBorders>
          </w:tcPr>
          <w:p>
            <w:r>
              <w:rPr>
                <w:b/>
                <w:sz w:val="18"/>
              </w:rPr>
              <w:t>Amount</w:t>
            </w:r>
          </w:p>
        </w:tc>
        <w:tc>
          <w:tcPr>
            <w:tcW w:type="dxa" w:w="4032"/>
            <w:shd w:fill="EAF2F8"/>
            <w:vAlign w:val="center"/>
            <w:tcBorders>
              <w:left w:val="single" w:sz="8" w:color="D6DEE5"/>
              <w:top w:val="single" w:sz="8" w:color="B8C4CE"/>
              <w:right w:val="single" w:sz="8" w:color="D6DEE5"/>
              <w:bottom w:val="single" w:sz="8" w:color="B8C4CE"/>
            </w:tcBorders>
          </w:tcPr>
          <w:p>
            <w:r>
              <w:rPr>
                <w:b/>
                <w:sz w:val="18"/>
              </w:rPr>
              <w:t>Why it matters</w:t>
            </w:r>
          </w:p>
        </w:tc>
      </w:tr>
      <w:tr>
        <w:tc>
          <w:tcPr>
            <w:tcW w:type="dxa" w:w="720"/>
            <w:vAlign w:val="center"/>
            <w:tcBorders>
              <w:left w:val="single" w:sz="4" w:color="EEF2F5"/>
              <w:top w:val="single" w:sz="4" w:color="E5EAF0"/>
              <w:right w:val="single" w:sz="4" w:color="EEF2F5"/>
              <w:bottom w:val="single" w:sz="4" w:color="E5EAF0"/>
            </w:tcBorders>
          </w:tcPr>
          <w:p>
            <w:r>
              <w:rPr>
                <w:sz w:val="18"/>
              </w:rPr>
              <w:t>1</w:t>
            </w:r>
          </w:p>
        </w:tc>
        <w:tc>
          <w:tcPr>
            <w:tcW w:type="dxa" w:w="2304"/>
            <w:vAlign w:val="center"/>
            <w:tcBorders>
              <w:left w:val="single" w:sz="4" w:color="EEF2F5"/>
              <w:top w:val="single" w:sz="4" w:color="E5EAF0"/>
              <w:right w:val="single" w:sz="4" w:color="EEF2F5"/>
              <w:bottom w:val="single" w:sz="4" w:color="E5EAF0"/>
            </w:tcBorders>
          </w:tcPr>
          <w:p>
            <w:r>
              <w:rPr>
                <w:sz w:val="18"/>
              </w:rPr>
              <w:t>School resort and destination travel</w:t>
            </w:r>
          </w:p>
        </w:tc>
        <w:tc>
          <w:tcPr>
            <w:tcW w:type="dxa" w:w="3024"/>
            <w:vAlign w:val="center"/>
            <w:tcBorders>
              <w:left w:val="single" w:sz="4" w:color="EEF2F5"/>
              <w:top w:val="single" w:sz="4" w:color="E5EAF0"/>
              <w:right w:val="single" w:sz="4" w:color="EEF2F5"/>
              <w:bottom w:val="single" w:sz="4" w:color="E5EAF0"/>
            </w:tcBorders>
          </w:tcPr>
          <w:p>
            <w:r>
              <w:rPr>
                <w:sz w:val="18"/>
              </w:rPr>
              <w:t>RESORTS; HYATT; CAYMAN; FLORIDA; AIRLINE; SCHOOL; CHARTER</w:t>
            </w:r>
          </w:p>
        </w:tc>
        <w:tc>
          <w:tcPr>
            <w:tcW w:type="dxa" w:w="1008"/>
            <w:vAlign w:val="center"/>
            <w:tcBorders>
              <w:left w:val="single" w:sz="4" w:color="EEF2F5"/>
              <w:top w:val="single" w:sz="4" w:color="E5EAF0"/>
              <w:right w:val="single" w:sz="4" w:color="EEF2F5"/>
              <w:bottom w:val="single" w:sz="4" w:color="E5EAF0"/>
            </w:tcBorders>
          </w:tcPr>
          <w:p>
            <w:r>
              <w:rPr>
                <w:sz w:val="18"/>
              </w:rPr>
              <w:t>8,503</w:t>
            </w:r>
          </w:p>
        </w:tc>
        <w:tc>
          <w:tcPr>
            <w:tcW w:type="dxa" w:w="1440"/>
            <w:vAlign w:val="center"/>
            <w:tcBorders>
              <w:left w:val="single" w:sz="4" w:color="EEF2F5"/>
              <w:top w:val="single" w:sz="4" w:color="E5EAF0"/>
              <w:right w:val="single" w:sz="4" w:color="EEF2F5"/>
              <w:bottom w:val="single" w:sz="4" w:color="E5EAF0"/>
            </w:tcBorders>
          </w:tcPr>
          <w:p>
            <w:r>
              <w:rPr>
                <w:sz w:val="18"/>
              </w:rPr>
              <w:t>$3,171,463.13</w:t>
            </w:r>
          </w:p>
        </w:tc>
        <w:tc>
          <w:tcPr>
            <w:tcW w:type="dxa" w:w="4032"/>
            <w:vAlign w:val="center"/>
            <w:tcBorders>
              <w:left w:val="single" w:sz="4" w:color="EEF2F5"/>
              <w:top w:val="single" w:sz="4" w:color="E5EAF0"/>
              <w:right w:val="single" w:sz="4" w:color="EEF2F5"/>
              <w:bottom w:val="single" w:sz="4" w:color="E5EAF0"/>
            </w:tcBorders>
          </w:tcPr>
          <w:p>
            <w:r>
              <w:rPr>
                <w:sz w:val="18"/>
              </w:rPr>
              <w:t>School and school-adjacent agencies appear repeatedly in resort, destination-lodging, and associated travel exhibits. This is the top public-facing priority.</w:t>
            </w:r>
          </w:p>
        </w:tc>
      </w:tr>
      <w:tr>
        <w:tc>
          <w:tcPr>
            <w:tcW w:type="dxa" w:w="720"/>
            <w:vAlign w:val="center"/>
            <w:tcBorders>
              <w:left w:val="single" w:sz="4" w:color="EEF2F5"/>
              <w:top w:val="single" w:sz="4" w:color="E5EAF0"/>
              <w:right w:val="single" w:sz="4" w:color="EEF2F5"/>
              <w:bottom w:val="single" w:sz="4" w:color="E5EAF0"/>
            </w:tcBorders>
          </w:tcPr>
          <w:p>
            <w:r>
              <w:rPr>
                <w:sz w:val="18"/>
              </w:rPr>
              <w:t>2</w:t>
            </w:r>
          </w:p>
        </w:tc>
        <w:tc>
          <w:tcPr>
            <w:tcW w:type="dxa" w:w="2304"/>
            <w:vAlign w:val="center"/>
            <w:tcBorders>
              <w:left w:val="single" w:sz="4" w:color="EEF2F5"/>
              <w:top w:val="single" w:sz="4" w:color="E5EAF0"/>
              <w:right w:val="single" w:sz="4" w:color="EEF2F5"/>
              <w:bottom w:val="single" w:sz="4" w:color="E5EAF0"/>
            </w:tcBorders>
          </w:tcPr>
          <w:p>
            <w:r>
              <w:rPr>
                <w:sz w:val="18"/>
              </w:rPr>
              <w:t>School-sector master concentration</w:t>
            </w:r>
          </w:p>
        </w:tc>
        <w:tc>
          <w:tcPr>
            <w:tcW w:type="dxa" w:w="3024"/>
            <w:vAlign w:val="center"/>
            <w:tcBorders>
              <w:left w:val="single" w:sz="4" w:color="EEF2F5"/>
              <w:top w:val="single" w:sz="4" w:color="E5EAF0"/>
              <w:right w:val="single" w:sz="4" w:color="EEF2F5"/>
              <w:bottom w:val="single" w:sz="4" w:color="E5EAF0"/>
            </w:tcBorders>
          </w:tcPr>
          <w:p>
            <w:r>
              <w:rPr>
                <w:sz w:val="18"/>
              </w:rPr>
              <w:t>SCHOOL_SECTOR master layer</w:t>
            </w:r>
          </w:p>
        </w:tc>
        <w:tc>
          <w:tcPr>
            <w:tcW w:type="dxa" w:w="1008"/>
            <w:vAlign w:val="center"/>
            <w:tcBorders>
              <w:left w:val="single" w:sz="4" w:color="EEF2F5"/>
              <w:top w:val="single" w:sz="4" w:color="E5EAF0"/>
              <w:right w:val="single" w:sz="4" w:color="EEF2F5"/>
              <w:bottom w:val="single" w:sz="4" w:color="E5EAF0"/>
            </w:tcBorders>
          </w:tcPr>
          <w:p>
            <w:r>
              <w:rPr>
                <w:sz w:val="18"/>
              </w:rPr>
              <w:t>147,116</w:t>
            </w:r>
          </w:p>
        </w:tc>
        <w:tc>
          <w:tcPr>
            <w:tcW w:type="dxa" w:w="1440"/>
            <w:vAlign w:val="center"/>
            <w:tcBorders>
              <w:left w:val="single" w:sz="4" w:color="EEF2F5"/>
              <w:top w:val="single" w:sz="4" w:color="E5EAF0"/>
              <w:right w:val="single" w:sz="4" w:color="EEF2F5"/>
              <w:bottom w:val="single" w:sz="4" w:color="E5EAF0"/>
            </w:tcBorders>
          </w:tcPr>
          <w:p>
            <w:r>
              <w:rPr>
                <w:sz w:val="18"/>
              </w:rPr>
            </w:r>
          </w:p>
        </w:tc>
        <w:tc>
          <w:tcPr>
            <w:tcW w:type="dxa" w:w="4032"/>
            <w:vAlign w:val="center"/>
            <w:tcBorders>
              <w:left w:val="single" w:sz="4" w:color="EEF2F5"/>
              <w:top w:val="single" w:sz="4" w:color="E5EAF0"/>
              <w:right w:val="single" w:sz="4" w:color="EEF2F5"/>
              <w:bottom w:val="single" w:sz="4" w:color="E5EAF0"/>
            </w:tcBorders>
          </w:tcPr>
          <w:p>
            <w:r>
              <w:rPr>
                <w:sz w:val="18"/>
              </w:rPr>
              <w:t>The school-sector master layer consolidates school-related exhibit rows across travel, lodging, venue, gift, restaurant, and recognition topics for cross-reference.</w:t>
            </w:r>
          </w:p>
        </w:tc>
      </w:tr>
      <w:tr>
        <w:tc>
          <w:tcPr>
            <w:tcW w:type="dxa" w:w="720"/>
            <w:vAlign w:val="center"/>
            <w:tcBorders>
              <w:left w:val="single" w:sz="4" w:color="EEF2F5"/>
              <w:top w:val="single" w:sz="4" w:color="E5EAF0"/>
              <w:right w:val="single" w:sz="4" w:color="EEF2F5"/>
              <w:bottom w:val="single" w:sz="4" w:color="E5EAF0"/>
            </w:tcBorders>
          </w:tcPr>
          <w:p>
            <w:r>
              <w:rPr>
                <w:sz w:val="18"/>
              </w:rPr>
              <w:t>3</w:t>
            </w:r>
          </w:p>
        </w:tc>
        <w:tc>
          <w:tcPr>
            <w:tcW w:type="dxa" w:w="2304"/>
            <w:vAlign w:val="center"/>
            <w:tcBorders>
              <w:left w:val="single" w:sz="4" w:color="EEF2F5"/>
              <w:top w:val="single" w:sz="4" w:color="E5EAF0"/>
              <w:right w:val="single" w:sz="4" w:color="EEF2F5"/>
              <w:bottom w:val="single" w:sz="4" w:color="E5EAF0"/>
            </w:tcBorders>
          </w:tcPr>
          <w:p>
            <w:r>
              <w:rPr>
                <w:sz w:val="18"/>
              </w:rPr>
              <w:t>Premium car and limousine use</w:t>
            </w:r>
          </w:p>
        </w:tc>
        <w:tc>
          <w:tcPr>
            <w:tcW w:type="dxa" w:w="3024"/>
            <w:vAlign w:val="center"/>
            <w:tcBorders>
              <w:left w:val="single" w:sz="4" w:color="EEF2F5"/>
              <w:top w:val="single" w:sz="4" w:color="E5EAF0"/>
              <w:right w:val="single" w:sz="4" w:color="EEF2F5"/>
              <w:bottom w:val="single" w:sz="4" w:color="E5EAF0"/>
            </w:tcBorders>
          </w:tcPr>
          <w:p>
            <w:r>
              <w:rPr>
                <w:sz w:val="18"/>
              </w:rPr>
              <w:t>LIMO</w:t>
            </w:r>
          </w:p>
        </w:tc>
        <w:tc>
          <w:tcPr>
            <w:tcW w:type="dxa" w:w="1008"/>
            <w:vAlign w:val="center"/>
            <w:tcBorders>
              <w:left w:val="single" w:sz="4" w:color="EEF2F5"/>
              <w:top w:val="single" w:sz="4" w:color="E5EAF0"/>
              <w:right w:val="single" w:sz="4" w:color="EEF2F5"/>
              <w:bottom w:val="single" w:sz="4" w:color="E5EAF0"/>
            </w:tcBorders>
          </w:tcPr>
          <w:p>
            <w:r>
              <w:rPr>
                <w:sz w:val="18"/>
              </w:rPr>
              <w:t>319</w:t>
            </w:r>
          </w:p>
        </w:tc>
        <w:tc>
          <w:tcPr>
            <w:tcW w:type="dxa" w:w="1440"/>
            <w:vAlign w:val="center"/>
            <w:tcBorders>
              <w:left w:val="single" w:sz="4" w:color="EEF2F5"/>
              <w:top w:val="single" w:sz="4" w:color="E5EAF0"/>
              <w:right w:val="single" w:sz="4" w:color="EEF2F5"/>
              <w:bottom w:val="single" w:sz="4" w:color="E5EAF0"/>
            </w:tcBorders>
          </w:tcPr>
          <w:p>
            <w:r>
              <w:rPr>
                <w:sz w:val="18"/>
              </w:rPr>
              <w:t>$65,291.64</w:t>
            </w:r>
          </w:p>
        </w:tc>
        <w:tc>
          <w:tcPr>
            <w:tcW w:type="dxa" w:w="4032"/>
            <w:vAlign w:val="center"/>
            <w:tcBorders>
              <w:left w:val="single" w:sz="4" w:color="EEF2F5"/>
              <w:top w:val="single" w:sz="4" w:color="E5EAF0"/>
              <w:right w:val="single" w:sz="4" w:color="EEF2F5"/>
              <w:bottom w:val="single" w:sz="4" w:color="E5EAF0"/>
            </w:tcBorders>
          </w:tcPr>
          <w:p>
            <w:r>
              <w:rPr>
                <w:sz w:val="18"/>
              </w:rPr>
              <w:t>Limousine and executive-car merchants are facially difficult to reconcile with the travel rule excluding premium car service.</w:t>
            </w:r>
          </w:p>
        </w:tc>
      </w:tr>
      <w:tr>
        <w:tc>
          <w:tcPr>
            <w:tcW w:type="dxa" w:w="720"/>
            <w:vAlign w:val="center"/>
            <w:tcBorders>
              <w:left w:val="single" w:sz="4" w:color="EEF2F5"/>
              <w:top w:val="single" w:sz="4" w:color="E5EAF0"/>
              <w:right w:val="single" w:sz="4" w:color="EEF2F5"/>
              <w:bottom w:val="single" w:sz="4" w:color="E5EAF0"/>
            </w:tcBorders>
          </w:tcPr>
          <w:p>
            <w:r>
              <w:rPr>
                <w:sz w:val="18"/>
              </w:rPr>
              <w:t>4</w:t>
            </w:r>
          </w:p>
        </w:tc>
        <w:tc>
          <w:tcPr>
            <w:tcW w:type="dxa" w:w="2304"/>
            <w:vAlign w:val="center"/>
            <w:tcBorders>
              <w:left w:val="single" w:sz="4" w:color="EEF2F5"/>
              <w:top w:val="single" w:sz="4" w:color="E5EAF0"/>
              <w:right w:val="single" w:sz="4" w:color="EEF2F5"/>
              <w:bottom w:val="single" w:sz="4" w:color="E5EAF0"/>
            </w:tcBorders>
          </w:tcPr>
          <w:p>
            <w:r>
              <w:rPr>
                <w:sz w:val="18"/>
              </w:rPr>
              <w:t>Gift, edible, trophy, and commemorative spending</w:t>
            </w:r>
          </w:p>
        </w:tc>
        <w:tc>
          <w:tcPr>
            <w:tcW w:type="dxa" w:w="3024"/>
            <w:vAlign w:val="center"/>
            <w:tcBorders>
              <w:left w:val="single" w:sz="4" w:color="EEF2F5"/>
              <w:top w:val="single" w:sz="4" w:color="E5EAF0"/>
              <w:right w:val="single" w:sz="4" w:color="EEF2F5"/>
              <w:bottom w:val="single" w:sz="4" w:color="E5EAF0"/>
            </w:tcBorders>
          </w:tcPr>
          <w:p>
            <w:r>
              <w:rPr>
                <w:sz w:val="18"/>
              </w:rPr>
              <w:t>EDIBLE; GIFT; TROPHY; COIN</w:t>
            </w:r>
          </w:p>
        </w:tc>
        <w:tc>
          <w:tcPr>
            <w:tcW w:type="dxa" w:w="1008"/>
            <w:vAlign w:val="center"/>
            <w:tcBorders>
              <w:left w:val="single" w:sz="4" w:color="EEF2F5"/>
              <w:top w:val="single" w:sz="4" w:color="E5EAF0"/>
              <w:right w:val="single" w:sz="4" w:color="EEF2F5"/>
              <w:bottom w:val="single" w:sz="4" w:color="E5EAF0"/>
            </w:tcBorders>
          </w:tcPr>
          <w:p>
            <w:r>
              <w:rPr>
                <w:sz w:val="18"/>
              </w:rPr>
              <w:t>1,436</w:t>
            </w:r>
          </w:p>
        </w:tc>
        <w:tc>
          <w:tcPr>
            <w:tcW w:type="dxa" w:w="1440"/>
            <w:vAlign w:val="center"/>
            <w:tcBorders>
              <w:left w:val="single" w:sz="4" w:color="EEF2F5"/>
              <w:top w:val="single" w:sz="4" w:color="E5EAF0"/>
              <w:right w:val="single" w:sz="4" w:color="EEF2F5"/>
              <w:bottom w:val="single" w:sz="4" w:color="E5EAF0"/>
            </w:tcBorders>
          </w:tcPr>
          <w:p>
            <w:r>
              <w:rPr>
                <w:sz w:val="18"/>
              </w:rPr>
              <w:t>$245,444.09</w:t>
            </w:r>
          </w:p>
        </w:tc>
        <w:tc>
          <w:tcPr>
            <w:tcW w:type="dxa" w:w="4032"/>
            <w:vAlign w:val="center"/>
            <w:tcBorders>
              <w:left w:val="single" w:sz="4" w:color="EEF2F5"/>
              <w:top w:val="single" w:sz="4" w:color="E5EAF0"/>
              <w:right w:val="single" w:sz="4" w:color="EEF2F5"/>
              <w:bottom w:val="single" w:sz="4" w:color="E5EAF0"/>
            </w:tcBorders>
          </w:tcPr>
          <w:p>
            <w:r>
              <w:rPr>
                <w:sz w:val="18"/>
              </w:rPr>
              <w:t>These purchases require a strong necessity explanation and often are not self-justifying on the face of the data.</w:t>
            </w:r>
          </w:p>
        </w:tc>
      </w:tr>
      <w:tr>
        <w:tc>
          <w:tcPr>
            <w:tcW w:type="dxa" w:w="720"/>
            <w:vAlign w:val="center"/>
            <w:tcBorders>
              <w:left w:val="single" w:sz="4" w:color="EEF2F5"/>
              <w:top w:val="single" w:sz="4" w:color="E5EAF0"/>
              <w:right w:val="single" w:sz="4" w:color="EEF2F5"/>
              <w:bottom w:val="single" w:sz="4" w:color="E5EAF0"/>
            </w:tcBorders>
          </w:tcPr>
          <w:p>
            <w:r>
              <w:rPr>
                <w:sz w:val="18"/>
              </w:rPr>
              <w:t>5</w:t>
            </w:r>
          </w:p>
        </w:tc>
        <w:tc>
          <w:tcPr>
            <w:tcW w:type="dxa" w:w="2304"/>
            <w:vAlign w:val="center"/>
            <w:tcBorders>
              <w:left w:val="single" w:sz="4" w:color="EEF2F5"/>
              <w:top w:val="single" w:sz="4" w:color="E5EAF0"/>
              <w:right w:val="single" w:sz="4" w:color="EEF2F5"/>
              <w:bottom w:val="single" w:sz="4" w:color="E5EAF0"/>
            </w:tcBorders>
          </w:tcPr>
          <w:p>
            <w:r>
              <w:rPr>
                <w:sz w:val="18"/>
              </w:rPr>
              <w:t>Alcohol and entertainment-adjacent venues</w:t>
            </w:r>
          </w:p>
        </w:tc>
        <w:tc>
          <w:tcPr>
            <w:tcW w:type="dxa" w:w="3024"/>
            <w:vAlign w:val="center"/>
            <w:tcBorders>
              <w:left w:val="single" w:sz="4" w:color="EEF2F5"/>
              <w:top w:val="single" w:sz="4" w:color="E5EAF0"/>
              <w:right w:val="single" w:sz="4" w:color="EEF2F5"/>
              <w:bottom w:val="single" w:sz="4" w:color="E5EAF0"/>
            </w:tcBorders>
          </w:tcPr>
          <w:p>
            <w:r>
              <w:rPr>
                <w:sz w:val="18"/>
              </w:rPr>
              <w:t>LOUNGE; BEER; CLUBS; EAT</w:t>
            </w:r>
          </w:p>
        </w:tc>
        <w:tc>
          <w:tcPr>
            <w:tcW w:type="dxa" w:w="1008"/>
            <w:vAlign w:val="center"/>
            <w:tcBorders>
              <w:left w:val="single" w:sz="4" w:color="EEF2F5"/>
              <w:top w:val="single" w:sz="4" w:color="E5EAF0"/>
              <w:right w:val="single" w:sz="4" w:color="EEF2F5"/>
              <w:bottom w:val="single" w:sz="4" w:color="E5EAF0"/>
            </w:tcBorders>
          </w:tcPr>
          <w:p>
            <w:r>
              <w:rPr>
                <w:sz w:val="18"/>
              </w:rPr>
              <w:t>1,771</w:t>
            </w:r>
          </w:p>
        </w:tc>
        <w:tc>
          <w:tcPr>
            <w:tcW w:type="dxa" w:w="1440"/>
            <w:vAlign w:val="center"/>
            <w:tcBorders>
              <w:left w:val="single" w:sz="4" w:color="EEF2F5"/>
              <w:top w:val="single" w:sz="4" w:color="E5EAF0"/>
              <w:right w:val="single" w:sz="4" w:color="EEF2F5"/>
              <w:bottom w:val="single" w:sz="4" w:color="E5EAF0"/>
            </w:tcBorders>
          </w:tcPr>
          <w:p>
            <w:r>
              <w:rPr>
                <w:sz w:val="18"/>
              </w:rPr>
              <w:t>$1,496,315.63</w:t>
            </w:r>
          </w:p>
        </w:tc>
        <w:tc>
          <w:tcPr>
            <w:tcW w:type="dxa" w:w="4032"/>
            <w:vAlign w:val="center"/>
            <w:tcBorders>
              <w:left w:val="single" w:sz="4" w:color="EEF2F5"/>
              <w:top w:val="single" w:sz="4" w:color="E5EAF0"/>
              <w:right w:val="single" w:sz="4" w:color="EEF2F5"/>
              <w:bottom w:val="single" w:sz="4" w:color="E5EAF0"/>
            </w:tcBorders>
          </w:tcPr>
          <w:p>
            <w:r>
              <w:rPr>
                <w:sz w:val="18"/>
              </w:rPr>
              <w:t>Bar, brewery, pub, club, and hospitality-style venue spending creates direct policy-fit questions about alcohol, entertainment, and meal necessity.</w:t>
            </w:r>
          </w:p>
        </w:tc>
      </w:tr>
      <w:tr>
        <w:tc>
          <w:tcPr>
            <w:tcW w:type="dxa" w:w="720"/>
            <w:vAlign w:val="center"/>
            <w:tcBorders>
              <w:left w:val="single" w:sz="4" w:color="EEF2F5"/>
              <w:top w:val="single" w:sz="4" w:color="E5EAF0"/>
              <w:right w:val="single" w:sz="4" w:color="EEF2F5"/>
              <w:bottom w:val="single" w:sz="4" w:color="E5EAF0"/>
            </w:tcBorders>
          </w:tcPr>
          <w:p>
            <w:r>
              <w:rPr>
                <w:sz w:val="18"/>
              </w:rPr>
              <w:t>6</w:t>
            </w:r>
          </w:p>
        </w:tc>
        <w:tc>
          <w:tcPr>
            <w:tcW w:type="dxa" w:w="2304"/>
            <w:vAlign w:val="center"/>
            <w:tcBorders>
              <w:left w:val="single" w:sz="4" w:color="EEF2F5"/>
              <w:top w:val="single" w:sz="4" w:color="E5EAF0"/>
              <w:right w:val="single" w:sz="4" w:color="EEF2F5"/>
              <w:bottom w:val="single" w:sz="4" w:color="E5EAF0"/>
            </w:tcBorders>
          </w:tcPr>
          <w:p>
            <w:r>
              <w:rPr>
                <w:sz w:val="18"/>
              </w:rPr>
              <w:t>Parking tickets, red-light cameras, and violation-style fees</w:t>
            </w:r>
          </w:p>
        </w:tc>
        <w:tc>
          <w:tcPr>
            <w:tcW w:type="dxa" w:w="3024"/>
            <w:vAlign w:val="center"/>
            <w:tcBorders>
              <w:left w:val="single" w:sz="4" w:color="EEF2F5"/>
              <w:top w:val="single" w:sz="4" w:color="E5EAF0"/>
              <w:right w:val="single" w:sz="4" w:color="EEF2F5"/>
              <w:bottom w:val="single" w:sz="4" w:color="E5EAF0"/>
            </w:tcBorders>
          </w:tcPr>
          <w:p>
            <w:r>
              <w:rPr>
                <w:sz w:val="18"/>
              </w:rPr>
              <w:t>FINES; ROAD_FEES</w:t>
            </w:r>
          </w:p>
        </w:tc>
        <w:tc>
          <w:tcPr>
            <w:tcW w:type="dxa" w:w="1008"/>
            <w:vAlign w:val="center"/>
            <w:tcBorders>
              <w:left w:val="single" w:sz="4" w:color="EEF2F5"/>
              <w:top w:val="single" w:sz="4" w:color="E5EAF0"/>
              <w:right w:val="single" w:sz="4" w:color="EEF2F5"/>
              <w:bottom w:val="single" w:sz="4" w:color="E5EAF0"/>
            </w:tcBorders>
          </w:tcPr>
          <w:p>
            <w:r>
              <w:rPr>
                <w:sz w:val="18"/>
              </w:rPr>
              <w:t>493</w:t>
            </w:r>
          </w:p>
        </w:tc>
        <w:tc>
          <w:tcPr>
            <w:tcW w:type="dxa" w:w="1440"/>
            <w:vAlign w:val="center"/>
            <w:tcBorders>
              <w:left w:val="single" w:sz="4" w:color="EEF2F5"/>
              <w:top w:val="single" w:sz="4" w:color="E5EAF0"/>
              <w:right w:val="single" w:sz="4" w:color="EEF2F5"/>
              <w:bottom w:val="single" w:sz="4" w:color="E5EAF0"/>
            </w:tcBorders>
          </w:tcPr>
          <w:p>
            <w:r>
              <w:rPr>
                <w:sz w:val="18"/>
              </w:rPr>
              <w:t>$24,044.08</w:t>
            </w:r>
          </w:p>
        </w:tc>
        <w:tc>
          <w:tcPr>
            <w:tcW w:type="dxa" w:w="4032"/>
            <w:vAlign w:val="center"/>
            <w:tcBorders>
              <w:left w:val="single" w:sz="4" w:color="EEF2F5"/>
              <w:top w:val="single" w:sz="4" w:color="E5EAF0"/>
              <w:right w:val="single" w:sz="4" w:color="EEF2F5"/>
              <w:bottom w:val="single" w:sz="4" w:color="E5EAF0"/>
            </w:tcBorders>
          </w:tcPr>
          <w:p>
            <w:r>
              <w:rPr>
                <w:sz w:val="18"/>
              </w:rPr>
              <w:t>The policy manual expressly prohibits parking tickets and traffic violations, and some road-fee rows reflect violation or plate-billed toll patterns.</w:t>
            </w:r>
          </w:p>
        </w:tc>
      </w:tr>
      <w:tr>
        <w:tc>
          <w:tcPr>
            <w:tcW w:type="dxa" w:w="720"/>
            <w:vAlign w:val="center"/>
            <w:tcBorders>
              <w:left w:val="single" w:sz="4" w:color="EEF2F5"/>
              <w:top w:val="single" w:sz="4" w:color="E5EAF0"/>
              <w:right w:val="single" w:sz="4" w:color="EEF2F5"/>
              <w:bottom w:val="single" w:sz="4" w:color="E5EAF0"/>
            </w:tcBorders>
          </w:tcPr>
          <w:p>
            <w:r>
              <w:rPr>
                <w:sz w:val="18"/>
              </w:rPr>
              <w:t>7</w:t>
            </w:r>
          </w:p>
        </w:tc>
        <w:tc>
          <w:tcPr>
            <w:tcW w:type="dxa" w:w="2304"/>
            <w:vAlign w:val="center"/>
            <w:tcBorders>
              <w:left w:val="single" w:sz="4" w:color="EEF2F5"/>
              <w:top w:val="single" w:sz="4" w:color="E5EAF0"/>
              <w:right w:val="single" w:sz="4" w:color="EEF2F5"/>
              <w:bottom w:val="single" w:sz="4" w:color="E5EAF0"/>
            </w:tcBorders>
          </w:tcPr>
          <w:p>
            <w:r>
              <w:rPr>
                <w:sz w:val="18"/>
              </w:rPr>
              <w:t>Consumer subscriptions and AI adoption</w:t>
            </w:r>
          </w:p>
        </w:tc>
        <w:tc>
          <w:tcPr>
            <w:tcW w:type="dxa" w:w="3024"/>
            <w:vAlign w:val="center"/>
            <w:tcBorders>
              <w:left w:val="single" w:sz="4" w:color="EEF2F5"/>
              <w:top w:val="single" w:sz="4" w:color="E5EAF0"/>
              <w:right w:val="single" w:sz="4" w:color="EEF2F5"/>
              <w:bottom w:val="single" w:sz="4" w:color="E5EAF0"/>
            </w:tcBorders>
          </w:tcPr>
          <w:p>
            <w:r>
              <w:rPr>
                <w:sz w:val="18"/>
              </w:rPr>
              <w:t>YOUTUBE; GOOGLE; OPENAI</w:t>
            </w:r>
          </w:p>
        </w:tc>
        <w:tc>
          <w:tcPr>
            <w:tcW w:type="dxa" w:w="1008"/>
            <w:vAlign w:val="center"/>
            <w:tcBorders>
              <w:left w:val="single" w:sz="4" w:color="EEF2F5"/>
              <w:top w:val="single" w:sz="4" w:color="E5EAF0"/>
              <w:right w:val="single" w:sz="4" w:color="EEF2F5"/>
              <w:bottom w:val="single" w:sz="4" w:color="E5EAF0"/>
            </w:tcBorders>
          </w:tcPr>
          <w:p>
            <w:r>
              <w:rPr>
                <w:sz w:val="18"/>
              </w:rPr>
              <w:t>963</w:t>
            </w:r>
          </w:p>
        </w:tc>
        <w:tc>
          <w:tcPr>
            <w:tcW w:type="dxa" w:w="1440"/>
            <w:vAlign w:val="center"/>
            <w:tcBorders>
              <w:left w:val="single" w:sz="4" w:color="EEF2F5"/>
              <w:top w:val="single" w:sz="4" w:color="E5EAF0"/>
              <w:right w:val="single" w:sz="4" w:color="EEF2F5"/>
              <w:bottom w:val="single" w:sz="4" w:color="E5EAF0"/>
            </w:tcBorders>
          </w:tcPr>
          <w:p>
            <w:r>
              <w:rPr>
                <w:sz w:val="18"/>
              </w:rPr>
              <w:t>$49,673.73</w:t>
            </w:r>
          </w:p>
        </w:tc>
        <w:tc>
          <w:tcPr>
            <w:tcW w:type="dxa" w:w="4032"/>
            <w:vAlign w:val="center"/>
            <w:tcBorders>
              <w:left w:val="single" w:sz="4" w:color="EEF2F5"/>
              <w:top w:val="single" w:sz="4" w:color="E5EAF0"/>
              <w:right w:val="single" w:sz="4" w:color="EEF2F5"/>
              <w:bottom w:val="single" w:sz="4" w:color="E5EAF0"/>
            </w:tcBorders>
          </w:tcPr>
          <w:p>
            <w:r>
              <w:rPr>
                <w:sz w:val="18"/>
              </w:rPr>
              <w:t>Consumer-style subscriptions are hard to justify on their face, while recurring OpenAI subscriptions show agencies themselves treated AI tools as operationally useful.</w:t>
            </w:r>
          </w:p>
        </w:tc>
      </w:tr>
      <w:tr>
        <w:tc>
          <w:tcPr>
            <w:tcW w:type="dxa" w:w="720"/>
            <w:vAlign w:val="center"/>
            <w:tcBorders>
              <w:left w:val="single" w:sz="4" w:color="EEF2F5"/>
              <w:top w:val="single" w:sz="4" w:color="E5EAF0"/>
              <w:right w:val="single" w:sz="4" w:color="EEF2F5"/>
              <w:bottom w:val="single" w:sz="4" w:color="E5EAF0"/>
            </w:tcBorders>
          </w:tcPr>
          <w:p>
            <w:r>
              <w:rPr>
                <w:sz w:val="18"/>
              </w:rPr>
              <w:t>8</w:t>
            </w:r>
          </w:p>
        </w:tc>
        <w:tc>
          <w:tcPr>
            <w:tcW w:type="dxa" w:w="2304"/>
            <w:vAlign w:val="center"/>
            <w:tcBorders>
              <w:left w:val="single" w:sz="4" w:color="EEF2F5"/>
              <w:top w:val="single" w:sz="4" w:color="E5EAF0"/>
              <w:right w:val="single" w:sz="4" w:color="EEF2F5"/>
              <w:bottom w:val="single" w:sz="4" w:color="E5EAF0"/>
            </w:tcBorders>
          </w:tcPr>
          <w:p>
            <w:r>
              <w:rPr>
                <w:sz w:val="18"/>
              </w:rPr>
              <w:t>Opaque online/procurement channels</w:t>
            </w:r>
          </w:p>
        </w:tc>
        <w:tc>
          <w:tcPr>
            <w:tcW w:type="dxa" w:w="3024"/>
            <w:vAlign w:val="center"/>
            <w:tcBorders>
              <w:left w:val="single" w:sz="4" w:color="EEF2F5"/>
              <w:top w:val="single" w:sz="4" w:color="E5EAF0"/>
              <w:right w:val="single" w:sz="4" w:color="EEF2F5"/>
              <w:bottom w:val="single" w:sz="4" w:color="E5EAF0"/>
            </w:tcBorders>
          </w:tcPr>
          <w:p>
            <w:r>
              <w:rPr>
                <w:sz w:val="18"/>
              </w:rPr>
              <w:t>AMAZON; PAYPAL; ONLINE</w:t>
            </w:r>
          </w:p>
        </w:tc>
        <w:tc>
          <w:tcPr>
            <w:tcW w:type="dxa" w:w="1008"/>
            <w:vAlign w:val="center"/>
            <w:tcBorders>
              <w:left w:val="single" w:sz="4" w:color="EEF2F5"/>
              <w:top w:val="single" w:sz="4" w:color="E5EAF0"/>
              <w:right w:val="single" w:sz="4" w:color="EEF2F5"/>
              <w:bottom w:val="single" w:sz="4" w:color="E5EAF0"/>
            </w:tcBorders>
          </w:tcPr>
          <w:p>
            <w:r>
              <w:rPr>
                <w:sz w:val="18"/>
              </w:rPr>
              <w:t>7,562</w:t>
            </w:r>
          </w:p>
        </w:tc>
        <w:tc>
          <w:tcPr>
            <w:tcW w:type="dxa" w:w="1440"/>
            <w:vAlign w:val="center"/>
            <w:tcBorders>
              <w:left w:val="single" w:sz="4" w:color="EEF2F5"/>
              <w:top w:val="single" w:sz="4" w:color="E5EAF0"/>
              <w:right w:val="single" w:sz="4" w:color="EEF2F5"/>
              <w:bottom w:val="single" w:sz="4" w:color="E5EAF0"/>
            </w:tcBorders>
          </w:tcPr>
          <w:p>
            <w:r>
              <w:rPr>
                <w:sz w:val="18"/>
              </w:rPr>
              <w:t>$2,814,195.92</w:t>
            </w:r>
          </w:p>
        </w:tc>
        <w:tc>
          <w:tcPr>
            <w:tcW w:type="dxa" w:w="4032"/>
            <w:vAlign w:val="center"/>
            <w:tcBorders>
              <w:left w:val="single" w:sz="4" w:color="EEF2F5"/>
              <w:top w:val="single" w:sz="4" w:color="E5EAF0"/>
              <w:right w:val="single" w:sz="4" w:color="EEF2F5"/>
              <w:bottom w:val="single" w:sz="4" w:color="E5EAF0"/>
            </w:tcBorders>
          </w:tcPr>
          <w:p>
            <w:r>
              <w:rPr>
                <w:sz w:val="18"/>
              </w:rPr>
              <w:t>Amazon, PayPal, and broad online ordering can obscure the underlying item or vendor and therefore require stronger record support.</w:t>
            </w:r>
          </w:p>
        </w:tc>
      </w:tr>
    </w:tbl>
    <w:p>
      <w:pPr>
        <w:pStyle w:val="Heading1"/>
      </w:pPr>
      <w:r>
        <w:t>School resort travel detail</w:t>
      </w:r>
    </w:p>
    <w:p>
      <w:r>
        <w:t>The table below collects the school-travel-adjacent layers that most directly support the priority finding. It combines school-sector topics with destination and travel topics, but keeps high-risk rows distinct from rows that still require supporting records.</w:t>
      </w:r>
    </w:p>
    <w:tbl>
      <w:tblPr>
        <w:tblStyle w:val="TableGrid"/>
        <w:tblW w:type="auto" w:w="0"/>
        <w:jc w:val="center"/>
        <w:tblLook w:firstColumn="1" w:firstRow="1" w:lastColumn="0" w:lastRow="0" w:noHBand="0" w:noVBand="1" w:val="04A0"/>
      </w:tblPr>
      <w:tblGrid>
        <w:gridCol w:w="1987"/>
        <w:gridCol w:w="1987"/>
        <w:gridCol w:w="1987"/>
        <w:gridCol w:w="1987"/>
        <w:gridCol w:w="1987"/>
      </w:tblGrid>
      <w:tr>
        <w:tc>
          <w:tcPr>
            <w:tcW w:type="dxa" w:w="1728"/>
            <w:shd w:fill="EAF2F8"/>
            <w:vAlign w:val="center"/>
            <w:tcBorders>
              <w:left w:val="single" w:sz="8" w:color="D6DEE5"/>
              <w:top w:val="single" w:sz="8" w:color="B8C4CE"/>
              <w:right w:val="single" w:sz="8" w:color="D6DEE5"/>
              <w:bottom w:val="single" w:sz="8" w:color="B8C4CE"/>
            </w:tcBorders>
          </w:tcPr>
          <w:p>
            <w:r>
              <w:rPr>
                <w:b/>
                <w:sz w:val="18"/>
              </w:rPr>
              <w:t>Topic</w:t>
            </w:r>
          </w:p>
        </w:tc>
        <w:tc>
          <w:tcPr>
            <w:tcW w:type="dxa" w:w="1440"/>
            <w:shd w:fill="EAF2F8"/>
            <w:vAlign w:val="center"/>
            <w:tcBorders>
              <w:left w:val="single" w:sz="8" w:color="D6DEE5"/>
              <w:top w:val="single" w:sz="8" w:color="B8C4CE"/>
              <w:right w:val="single" w:sz="8" w:color="D6DEE5"/>
              <w:bottom w:val="single" w:sz="8" w:color="B8C4CE"/>
            </w:tcBorders>
          </w:tcPr>
          <w:p>
            <w:r>
              <w:rPr>
                <w:b/>
                <w:sz w:val="18"/>
              </w:rPr>
              <w:t>High-risk rows</w:t>
            </w:r>
          </w:p>
        </w:tc>
        <w:tc>
          <w:tcPr>
            <w:tcW w:type="dxa" w:w="1656"/>
            <w:shd w:fill="EAF2F8"/>
            <w:vAlign w:val="center"/>
            <w:tcBorders>
              <w:left w:val="single" w:sz="8" w:color="D6DEE5"/>
              <w:top w:val="single" w:sz="8" w:color="B8C4CE"/>
              <w:right w:val="single" w:sz="8" w:color="D6DEE5"/>
              <w:bottom w:val="single" w:sz="8" w:color="B8C4CE"/>
            </w:tcBorders>
          </w:tcPr>
          <w:p>
            <w:r>
              <w:rPr>
                <w:b/>
                <w:sz w:val="18"/>
              </w:rPr>
              <w:t>High-risk amount</w:t>
            </w:r>
          </w:p>
        </w:tc>
        <w:tc>
          <w:tcPr>
            <w:tcW w:type="dxa" w:w="1584"/>
            <w:shd w:fill="EAF2F8"/>
            <w:vAlign w:val="center"/>
            <w:tcBorders>
              <w:left w:val="single" w:sz="8" w:color="D6DEE5"/>
              <w:top w:val="single" w:sz="8" w:color="B8C4CE"/>
              <w:right w:val="single" w:sz="8" w:color="D6DEE5"/>
              <w:bottom w:val="single" w:sz="8" w:color="B8C4CE"/>
            </w:tcBorders>
          </w:tcPr>
          <w:p>
            <w:r>
              <w:rPr>
                <w:b/>
                <w:sz w:val="18"/>
              </w:rPr>
              <w:t>Needs-records rows</w:t>
            </w:r>
          </w:p>
        </w:tc>
        <w:tc>
          <w:tcPr>
            <w:tcW w:type="dxa" w:w="1656"/>
            <w:shd w:fill="EAF2F8"/>
            <w:vAlign w:val="center"/>
            <w:tcBorders>
              <w:left w:val="single" w:sz="8" w:color="D6DEE5"/>
              <w:top w:val="single" w:sz="8" w:color="B8C4CE"/>
              <w:right w:val="single" w:sz="8" w:color="D6DEE5"/>
              <w:bottom w:val="single" w:sz="8" w:color="B8C4CE"/>
            </w:tcBorders>
          </w:tcPr>
          <w:p>
            <w:r>
              <w:rPr>
                <w:b/>
                <w:sz w:val="18"/>
              </w:rPr>
              <w:t>Needs-records amount</w:t>
            </w:r>
          </w:p>
        </w:tc>
      </w:tr>
      <w:tr>
        <w:tc>
          <w:tcPr>
            <w:tcW w:type="dxa" w:w="1728"/>
            <w:vAlign w:val="center"/>
            <w:tcBorders>
              <w:left w:val="single" w:sz="4" w:color="EEF2F5"/>
              <w:top w:val="single" w:sz="4" w:color="E5EAF0"/>
              <w:right w:val="single" w:sz="4" w:color="EEF2F5"/>
              <w:bottom w:val="single" w:sz="4" w:color="E5EAF0"/>
            </w:tcBorders>
          </w:tcPr>
          <w:p>
            <w:r>
              <w:rPr>
                <w:sz w:val="18"/>
              </w:rPr>
              <w:t>HYATT</w:t>
            </w:r>
          </w:p>
        </w:tc>
        <w:tc>
          <w:tcPr>
            <w:tcW w:type="dxa" w:w="1440"/>
            <w:vAlign w:val="center"/>
            <w:tcBorders>
              <w:left w:val="single" w:sz="4" w:color="EEF2F5"/>
              <w:top w:val="single" w:sz="4" w:color="E5EAF0"/>
              <w:right w:val="single" w:sz="4" w:color="EEF2F5"/>
              <w:bottom w:val="single" w:sz="4" w:color="E5EAF0"/>
            </w:tcBorders>
          </w:tcPr>
          <w:p>
            <w:r>
              <w:rPr>
                <w:sz w:val="18"/>
              </w:rPr>
              <w:t>1,730</w:t>
            </w:r>
          </w:p>
        </w:tc>
        <w:tc>
          <w:tcPr>
            <w:tcW w:type="dxa" w:w="1656"/>
            <w:vAlign w:val="center"/>
            <w:tcBorders>
              <w:left w:val="single" w:sz="4" w:color="EEF2F5"/>
              <w:top w:val="single" w:sz="4" w:color="E5EAF0"/>
              <w:right w:val="single" w:sz="4" w:color="EEF2F5"/>
              <w:bottom w:val="single" w:sz="4" w:color="E5EAF0"/>
            </w:tcBorders>
          </w:tcPr>
          <w:p>
            <w:r>
              <w:rPr>
                <w:sz w:val="18"/>
              </w:rPr>
              <w:t>$814,002.24</w:t>
            </w:r>
          </w:p>
        </w:tc>
        <w:tc>
          <w:tcPr>
            <w:tcW w:type="dxa" w:w="1584"/>
            <w:vAlign w:val="center"/>
            <w:tcBorders>
              <w:left w:val="single" w:sz="4" w:color="EEF2F5"/>
              <w:top w:val="single" w:sz="4" w:color="E5EAF0"/>
              <w:right w:val="single" w:sz="4" w:color="EEF2F5"/>
              <w:bottom w:val="single" w:sz="4" w:color="E5EAF0"/>
            </w:tcBorders>
          </w:tcPr>
          <w:p>
            <w:r>
              <w:rPr>
                <w:sz w:val="18"/>
              </w:rPr>
              <w:t>4,485</w:t>
            </w:r>
          </w:p>
        </w:tc>
        <w:tc>
          <w:tcPr>
            <w:tcW w:type="dxa" w:w="1656"/>
            <w:vAlign w:val="center"/>
            <w:tcBorders>
              <w:left w:val="single" w:sz="4" w:color="EEF2F5"/>
              <w:top w:val="single" w:sz="4" w:color="E5EAF0"/>
              <w:right w:val="single" w:sz="4" w:color="EEF2F5"/>
              <w:bottom w:val="single" w:sz="4" w:color="E5EAF0"/>
            </w:tcBorders>
          </w:tcPr>
          <w:p>
            <w:r>
              <w:rPr>
                <w:sz w:val="18"/>
              </w:rPr>
              <w:t>$1,421,127.73</w:t>
            </w:r>
          </w:p>
        </w:tc>
      </w:tr>
      <w:tr>
        <w:tc>
          <w:tcPr>
            <w:tcW w:type="dxa" w:w="1728"/>
            <w:vAlign w:val="center"/>
            <w:tcBorders>
              <w:left w:val="single" w:sz="4" w:color="EEF2F5"/>
              <w:top w:val="single" w:sz="4" w:color="E5EAF0"/>
              <w:right w:val="single" w:sz="4" w:color="EEF2F5"/>
              <w:bottom w:val="single" w:sz="4" w:color="E5EAF0"/>
            </w:tcBorders>
          </w:tcPr>
          <w:p>
            <w:r>
              <w:rPr>
                <w:sz w:val="18"/>
              </w:rPr>
              <w:t>SCHOOL</w:t>
            </w:r>
          </w:p>
        </w:tc>
        <w:tc>
          <w:tcPr>
            <w:tcW w:type="dxa" w:w="1440"/>
            <w:vAlign w:val="center"/>
            <w:tcBorders>
              <w:left w:val="single" w:sz="4" w:color="EEF2F5"/>
              <w:top w:val="single" w:sz="4" w:color="E5EAF0"/>
              <w:right w:val="single" w:sz="4" w:color="EEF2F5"/>
              <w:bottom w:val="single" w:sz="4" w:color="E5EAF0"/>
            </w:tcBorders>
          </w:tcPr>
          <w:p>
            <w:r>
              <w:rPr>
                <w:sz w:val="18"/>
              </w:rPr>
              <w:t>4,137</w:t>
            </w:r>
          </w:p>
        </w:tc>
        <w:tc>
          <w:tcPr>
            <w:tcW w:type="dxa" w:w="1656"/>
            <w:vAlign w:val="center"/>
            <w:tcBorders>
              <w:left w:val="single" w:sz="4" w:color="EEF2F5"/>
              <w:top w:val="single" w:sz="4" w:color="E5EAF0"/>
              <w:right w:val="single" w:sz="4" w:color="EEF2F5"/>
              <w:bottom w:val="single" w:sz="4" w:color="E5EAF0"/>
            </w:tcBorders>
          </w:tcPr>
          <w:p>
            <w:r>
              <w:rPr>
                <w:sz w:val="18"/>
              </w:rPr>
              <w:t>$739,444.99</w:t>
            </w:r>
          </w:p>
        </w:tc>
        <w:tc>
          <w:tcPr>
            <w:tcW w:type="dxa" w:w="1584"/>
            <w:vAlign w:val="center"/>
            <w:tcBorders>
              <w:left w:val="single" w:sz="4" w:color="EEF2F5"/>
              <w:top w:val="single" w:sz="4" w:color="E5EAF0"/>
              <w:right w:val="single" w:sz="4" w:color="EEF2F5"/>
              <w:bottom w:val="single" w:sz="4" w:color="E5EAF0"/>
            </w:tcBorders>
          </w:tcPr>
          <w:p>
            <w:r>
              <w:rPr>
                <w:sz w:val="18"/>
              </w:rPr>
              <w:t>61,413</w:t>
            </w:r>
          </w:p>
        </w:tc>
        <w:tc>
          <w:tcPr>
            <w:tcW w:type="dxa" w:w="1656"/>
            <w:vAlign w:val="center"/>
            <w:tcBorders>
              <w:left w:val="single" w:sz="4" w:color="EEF2F5"/>
              <w:top w:val="single" w:sz="4" w:color="E5EAF0"/>
              <w:right w:val="single" w:sz="4" w:color="EEF2F5"/>
              <w:bottom w:val="single" w:sz="4" w:color="E5EAF0"/>
            </w:tcBorders>
          </w:tcPr>
          <w:p>
            <w:r>
              <w:rPr>
                <w:sz w:val="18"/>
              </w:rPr>
              <w:t>$10,441,093.06</w:t>
            </w:r>
          </w:p>
        </w:tc>
      </w:tr>
      <w:tr>
        <w:tc>
          <w:tcPr>
            <w:tcW w:type="dxa" w:w="1728"/>
            <w:vAlign w:val="center"/>
            <w:tcBorders>
              <w:left w:val="single" w:sz="4" w:color="EEF2F5"/>
              <w:top w:val="single" w:sz="4" w:color="E5EAF0"/>
              <w:right w:val="single" w:sz="4" w:color="EEF2F5"/>
              <w:bottom w:val="single" w:sz="4" w:color="E5EAF0"/>
            </w:tcBorders>
          </w:tcPr>
          <w:p>
            <w:r>
              <w:rPr>
                <w:sz w:val="18"/>
              </w:rPr>
              <w:t>DISTRICT</w:t>
            </w:r>
          </w:p>
        </w:tc>
        <w:tc>
          <w:tcPr>
            <w:tcW w:type="dxa" w:w="1440"/>
            <w:vAlign w:val="center"/>
            <w:tcBorders>
              <w:left w:val="single" w:sz="4" w:color="EEF2F5"/>
              <w:top w:val="single" w:sz="4" w:color="E5EAF0"/>
              <w:right w:val="single" w:sz="4" w:color="EEF2F5"/>
              <w:bottom w:val="single" w:sz="4" w:color="E5EAF0"/>
            </w:tcBorders>
          </w:tcPr>
          <w:p>
            <w:r>
              <w:rPr>
                <w:sz w:val="18"/>
              </w:rPr>
              <w:t>3,206</w:t>
            </w:r>
          </w:p>
        </w:tc>
        <w:tc>
          <w:tcPr>
            <w:tcW w:type="dxa" w:w="1656"/>
            <w:vAlign w:val="center"/>
            <w:tcBorders>
              <w:left w:val="single" w:sz="4" w:color="EEF2F5"/>
              <w:top w:val="single" w:sz="4" w:color="E5EAF0"/>
              <w:right w:val="single" w:sz="4" w:color="EEF2F5"/>
              <w:bottom w:val="single" w:sz="4" w:color="E5EAF0"/>
            </w:tcBorders>
          </w:tcPr>
          <w:p>
            <w:r>
              <w:rPr>
                <w:sz w:val="18"/>
              </w:rPr>
              <w:t>$591,706.67</w:t>
            </w:r>
          </w:p>
        </w:tc>
        <w:tc>
          <w:tcPr>
            <w:tcW w:type="dxa" w:w="1584"/>
            <w:vAlign w:val="center"/>
            <w:tcBorders>
              <w:left w:val="single" w:sz="4" w:color="EEF2F5"/>
              <w:top w:val="single" w:sz="4" w:color="E5EAF0"/>
              <w:right w:val="single" w:sz="4" w:color="EEF2F5"/>
              <w:bottom w:val="single" w:sz="4" w:color="E5EAF0"/>
            </w:tcBorders>
          </w:tcPr>
          <w:p>
            <w:r>
              <w:rPr>
                <w:sz w:val="18"/>
              </w:rPr>
              <w:t>48,961</w:t>
            </w:r>
          </w:p>
        </w:tc>
        <w:tc>
          <w:tcPr>
            <w:tcW w:type="dxa" w:w="1656"/>
            <w:vAlign w:val="center"/>
            <w:tcBorders>
              <w:left w:val="single" w:sz="4" w:color="EEF2F5"/>
              <w:top w:val="single" w:sz="4" w:color="E5EAF0"/>
              <w:right w:val="single" w:sz="4" w:color="EEF2F5"/>
              <w:bottom w:val="single" w:sz="4" w:color="E5EAF0"/>
            </w:tcBorders>
          </w:tcPr>
          <w:p>
            <w:r>
              <w:rPr>
                <w:sz w:val="18"/>
              </w:rPr>
              <w:t>$8,404,943.25</w:t>
            </w:r>
          </w:p>
        </w:tc>
      </w:tr>
      <w:tr>
        <w:tc>
          <w:tcPr>
            <w:tcW w:type="dxa" w:w="1728"/>
            <w:vAlign w:val="center"/>
            <w:tcBorders>
              <w:left w:val="single" w:sz="4" w:color="EEF2F5"/>
              <w:top w:val="single" w:sz="4" w:color="E5EAF0"/>
              <w:right w:val="single" w:sz="4" w:color="EEF2F5"/>
              <w:bottom w:val="single" w:sz="4" w:color="E5EAF0"/>
            </w:tcBorders>
          </w:tcPr>
          <w:p>
            <w:r>
              <w:rPr>
                <w:sz w:val="18"/>
              </w:rPr>
              <w:t>RESORTS</w:t>
            </w:r>
          </w:p>
        </w:tc>
        <w:tc>
          <w:tcPr>
            <w:tcW w:type="dxa" w:w="1440"/>
            <w:vAlign w:val="center"/>
            <w:tcBorders>
              <w:left w:val="single" w:sz="4" w:color="EEF2F5"/>
              <w:top w:val="single" w:sz="4" w:color="E5EAF0"/>
              <w:right w:val="single" w:sz="4" w:color="EEF2F5"/>
              <w:bottom w:val="single" w:sz="4" w:color="E5EAF0"/>
            </w:tcBorders>
          </w:tcPr>
          <w:p>
            <w:r>
              <w:rPr>
                <w:sz w:val="18"/>
              </w:rPr>
              <w:t>1,219</w:t>
            </w:r>
          </w:p>
        </w:tc>
        <w:tc>
          <w:tcPr>
            <w:tcW w:type="dxa" w:w="1656"/>
            <w:vAlign w:val="center"/>
            <w:tcBorders>
              <w:left w:val="single" w:sz="4" w:color="EEF2F5"/>
              <w:top w:val="single" w:sz="4" w:color="E5EAF0"/>
              <w:right w:val="single" w:sz="4" w:color="EEF2F5"/>
              <w:bottom w:val="single" w:sz="4" w:color="E5EAF0"/>
            </w:tcBorders>
          </w:tcPr>
          <w:p>
            <w:r>
              <w:rPr>
                <w:sz w:val="18"/>
              </w:rPr>
              <w:t>$581,549.60</w:t>
            </w:r>
          </w:p>
        </w:tc>
        <w:tc>
          <w:tcPr>
            <w:tcW w:type="dxa" w:w="1584"/>
            <w:vAlign w:val="center"/>
            <w:tcBorders>
              <w:left w:val="single" w:sz="4" w:color="EEF2F5"/>
              <w:top w:val="single" w:sz="4" w:color="E5EAF0"/>
              <w:right w:val="single" w:sz="4" w:color="EEF2F5"/>
              <w:bottom w:val="single" w:sz="4" w:color="E5EAF0"/>
            </w:tcBorders>
          </w:tcPr>
          <w:p>
            <w:r>
              <w:rPr>
                <w:sz w:val="18"/>
              </w:rPr>
              <w:t>986</w:t>
            </w:r>
          </w:p>
        </w:tc>
        <w:tc>
          <w:tcPr>
            <w:tcW w:type="dxa" w:w="1656"/>
            <w:vAlign w:val="center"/>
            <w:tcBorders>
              <w:left w:val="single" w:sz="4" w:color="EEF2F5"/>
              <w:top w:val="single" w:sz="4" w:color="E5EAF0"/>
              <w:right w:val="single" w:sz="4" w:color="EEF2F5"/>
              <w:bottom w:val="single" w:sz="4" w:color="E5EAF0"/>
            </w:tcBorders>
          </w:tcPr>
          <w:p>
            <w:r>
              <w:rPr>
                <w:sz w:val="18"/>
              </w:rPr>
              <w:t>$292,761.66</w:t>
            </w:r>
          </w:p>
        </w:tc>
      </w:tr>
      <w:tr>
        <w:tc>
          <w:tcPr>
            <w:tcW w:type="dxa" w:w="1728"/>
            <w:vAlign w:val="center"/>
            <w:tcBorders>
              <w:left w:val="single" w:sz="4" w:color="EEF2F5"/>
              <w:top w:val="single" w:sz="4" w:color="E5EAF0"/>
              <w:right w:val="single" w:sz="4" w:color="EEF2F5"/>
              <w:bottom w:val="single" w:sz="4" w:color="E5EAF0"/>
            </w:tcBorders>
          </w:tcPr>
          <w:p>
            <w:r>
              <w:rPr>
                <w:sz w:val="18"/>
              </w:rPr>
              <w:t>CHARTER</w:t>
            </w:r>
          </w:p>
        </w:tc>
        <w:tc>
          <w:tcPr>
            <w:tcW w:type="dxa" w:w="1440"/>
            <w:vAlign w:val="center"/>
            <w:tcBorders>
              <w:left w:val="single" w:sz="4" w:color="EEF2F5"/>
              <w:top w:val="single" w:sz="4" w:color="E5EAF0"/>
              <w:right w:val="single" w:sz="4" w:color="EEF2F5"/>
              <w:bottom w:val="single" w:sz="4" w:color="E5EAF0"/>
            </w:tcBorders>
          </w:tcPr>
          <w:p>
            <w:r>
              <w:rPr>
                <w:sz w:val="18"/>
              </w:rPr>
              <w:t>785</w:t>
            </w:r>
          </w:p>
        </w:tc>
        <w:tc>
          <w:tcPr>
            <w:tcW w:type="dxa" w:w="1656"/>
            <w:vAlign w:val="center"/>
            <w:tcBorders>
              <w:left w:val="single" w:sz="4" w:color="EEF2F5"/>
              <w:top w:val="single" w:sz="4" w:color="E5EAF0"/>
              <w:right w:val="single" w:sz="4" w:color="EEF2F5"/>
              <w:bottom w:val="single" w:sz="4" w:color="E5EAF0"/>
            </w:tcBorders>
          </w:tcPr>
          <w:p>
            <w:r>
              <w:rPr>
                <w:sz w:val="18"/>
              </w:rPr>
              <w:t>$112,523.20</w:t>
            </w:r>
          </w:p>
        </w:tc>
        <w:tc>
          <w:tcPr>
            <w:tcW w:type="dxa" w:w="1584"/>
            <w:vAlign w:val="center"/>
            <w:tcBorders>
              <w:left w:val="single" w:sz="4" w:color="EEF2F5"/>
              <w:top w:val="single" w:sz="4" w:color="E5EAF0"/>
              <w:right w:val="single" w:sz="4" w:color="EEF2F5"/>
              <w:bottom w:val="single" w:sz="4" w:color="E5EAF0"/>
            </w:tcBorders>
          </w:tcPr>
          <w:p>
            <w:r>
              <w:rPr>
                <w:sz w:val="18"/>
              </w:rPr>
              <w:t>10,488</w:t>
            </w:r>
          </w:p>
        </w:tc>
        <w:tc>
          <w:tcPr>
            <w:tcW w:type="dxa" w:w="1656"/>
            <w:vAlign w:val="center"/>
            <w:tcBorders>
              <w:left w:val="single" w:sz="4" w:color="EEF2F5"/>
              <w:top w:val="single" w:sz="4" w:color="E5EAF0"/>
              <w:right w:val="single" w:sz="4" w:color="EEF2F5"/>
              <w:bottom w:val="single" w:sz="4" w:color="E5EAF0"/>
            </w:tcBorders>
          </w:tcPr>
          <w:p>
            <w:r>
              <w:rPr>
                <w:sz w:val="18"/>
              </w:rPr>
              <w:t>$1,780,039.77</w:t>
            </w:r>
          </w:p>
        </w:tc>
      </w:tr>
      <w:tr>
        <w:tc>
          <w:tcPr>
            <w:tcW w:type="dxa" w:w="1728"/>
            <w:vAlign w:val="center"/>
            <w:tcBorders>
              <w:left w:val="single" w:sz="4" w:color="EEF2F5"/>
              <w:top w:val="single" w:sz="4" w:color="E5EAF0"/>
              <w:right w:val="single" w:sz="4" w:color="EEF2F5"/>
              <w:bottom w:val="single" w:sz="4" w:color="E5EAF0"/>
            </w:tcBorders>
          </w:tcPr>
          <w:p>
            <w:r>
              <w:rPr>
                <w:sz w:val="18"/>
              </w:rPr>
              <w:t>EDUCATION</w:t>
            </w:r>
          </w:p>
        </w:tc>
        <w:tc>
          <w:tcPr>
            <w:tcW w:type="dxa" w:w="1440"/>
            <w:vAlign w:val="center"/>
            <w:tcBorders>
              <w:left w:val="single" w:sz="4" w:color="EEF2F5"/>
              <w:top w:val="single" w:sz="4" w:color="E5EAF0"/>
              <w:right w:val="single" w:sz="4" w:color="EEF2F5"/>
              <w:bottom w:val="single" w:sz="4" w:color="E5EAF0"/>
            </w:tcBorders>
          </w:tcPr>
          <w:p>
            <w:r>
              <w:rPr>
                <w:sz w:val="18"/>
              </w:rPr>
              <w:t>603</w:t>
            </w:r>
          </w:p>
        </w:tc>
        <w:tc>
          <w:tcPr>
            <w:tcW w:type="dxa" w:w="1656"/>
            <w:vAlign w:val="center"/>
            <w:tcBorders>
              <w:left w:val="single" w:sz="4" w:color="EEF2F5"/>
              <w:top w:val="single" w:sz="4" w:color="E5EAF0"/>
              <w:right w:val="single" w:sz="4" w:color="EEF2F5"/>
              <w:bottom w:val="single" w:sz="4" w:color="E5EAF0"/>
            </w:tcBorders>
          </w:tcPr>
          <w:p>
            <w:r>
              <w:rPr>
                <w:sz w:val="18"/>
              </w:rPr>
              <w:t>$67,297.28</w:t>
            </w:r>
          </w:p>
        </w:tc>
        <w:tc>
          <w:tcPr>
            <w:tcW w:type="dxa" w:w="1584"/>
            <w:vAlign w:val="center"/>
            <w:tcBorders>
              <w:left w:val="single" w:sz="4" w:color="EEF2F5"/>
              <w:top w:val="single" w:sz="4" w:color="E5EAF0"/>
              <w:right w:val="single" w:sz="4" w:color="EEF2F5"/>
              <w:bottom w:val="single" w:sz="4" w:color="E5EAF0"/>
            </w:tcBorders>
          </w:tcPr>
          <w:p>
            <w:r>
              <w:rPr>
                <w:sz w:val="18"/>
              </w:rPr>
              <w:t>8,611</w:t>
            </w:r>
          </w:p>
        </w:tc>
        <w:tc>
          <w:tcPr>
            <w:tcW w:type="dxa" w:w="1656"/>
            <w:vAlign w:val="center"/>
            <w:tcBorders>
              <w:left w:val="single" w:sz="4" w:color="EEF2F5"/>
              <w:top w:val="single" w:sz="4" w:color="E5EAF0"/>
              <w:right w:val="single" w:sz="4" w:color="EEF2F5"/>
              <w:bottom w:val="single" w:sz="4" w:color="E5EAF0"/>
            </w:tcBorders>
          </w:tcPr>
          <w:p>
            <w:r>
              <w:rPr>
                <w:sz w:val="18"/>
              </w:rPr>
              <w:t>$1,107,644.77</w:t>
            </w:r>
          </w:p>
        </w:tc>
      </w:tr>
      <w:tr>
        <w:tc>
          <w:tcPr>
            <w:tcW w:type="dxa" w:w="1728"/>
            <w:vAlign w:val="center"/>
            <w:tcBorders>
              <w:left w:val="single" w:sz="4" w:color="EEF2F5"/>
              <w:top w:val="single" w:sz="4" w:color="E5EAF0"/>
              <w:right w:val="single" w:sz="4" w:color="EEF2F5"/>
              <w:bottom w:val="single" w:sz="4" w:color="E5EAF0"/>
            </w:tcBorders>
          </w:tcPr>
          <w:p>
            <w:r>
              <w:rPr>
                <w:sz w:val="18"/>
              </w:rPr>
              <w:t>LIMO</w:t>
            </w:r>
          </w:p>
        </w:tc>
        <w:tc>
          <w:tcPr>
            <w:tcW w:type="dxa" w:w="1440"/>
            <w:vAlign w:val="center"/>
            <w:tcBorders>
              <w:left w:val="single" w:sz="4" w:color="EEF2F5"/>
              <w:top w:val="single" w:sz="4" w:color="E5EAF0"/>
              <w:right w:val="single" w:sz="4" w:color="EEF2F5"/>
              <w:bottom w:val="single" w:sz="4" w:color="E5EAF0"/>
            </w:tcBorders>
          </w:tcPr>
          <w:p>
            <w:r>
              <w:rPr>
                <w:sz w:val="18"/>
              </w:rPr>
              <w:t>319</w:t>
            </w:r>
          </w:p>
        </w:tc>
        <w:tc>
          <w:tcPr>
            <w:tcW w:type="dxa" w:w="1656"/>
            <w:vAlign w:val="center"/>
            <w:tcBorders>
              <w:left w:val="single" w:sz="4" w:color="EEF2F5"/>
              <w:top w:val="single" w:sz="4" w:color="E5EAF0"/>
              <w:right w:val="single" w:sz="4" w:color="EEF2F5"/>
              <w:bottom w:val="single" w:sz="4" w:color="E5EAF0"/>
            </w:tcBorders>
          </w:tcPr>
          <w:p>
            <w:r>
              <w:rPr>
                <w:sz w:val="18"/>
              </w:rPr>
              <w:t>$65,291.64</w:t>
            </w:r>
          </w:p>
        </w:tc>
        <w:tc>
          <w:tcPr>
            <w:tcW w:type="dxa" w:w="1584"/>
            <w:vAlign w:val="center"/>
            <w:tcBorders>
              <w:left w:val="single" w:sz="4" w:color="EEF2F5"/>
              <w:top w:val="single" w:sz="4" w:color="E5EAF0"/>
              <w:right w:val="single" w:sz="4" w:color="EEF2F5"/>
              <w:bottom w:val="single" w:sz="4" w:color="E5EAF0"/>
            </w:tcBorders>
          </w:tcPr>
          <w:p>
            <w:r>
              <w:rPr>
                <w:sz w:val="18"/>
              </w:rPr>
              <w:t>0</w:t>
            </w:r>
          </w:p>
        </w:tc>
        <w:tc>
          <w:tcPr>
            <w:tcW w:type="dxa" w:w="1656"/>
            <w:vAlign w:val="center"/>
            <w:tcBorders>
              <w:left w:val="single" w:sz="4" w:color="EEF2F5"/>
              <w:top w:val="single" w:sz="4" w:color="E5EAF0"/>
              <w:right w:val="single" w:sz="4" w:color="EEF2F5"/>
              <w:bottom w:val="single" w:sz="4" w:color="E5EAF0"/>
            </w:tcBorders>
          </w:tcPr>
          <w:p>
            <w:r>
              <w:rPr>
                <w:sz w:val="18"/>
              </w:rPr>
              <w:t>$0.00</w:t>
            </w:r>
          </w:p>
        </w:tc>
      </w:tr>
      <w:tr>
        <w:tc>
          <w:tcPr>
            <w:tcW w:type="dxa" w:w="1728"/>
            <w:vAlign w:val="center"/>
            <w:tcBorders>
              <w:left w:val="single" w:sz="4" w:color="EEF2F5"/>
              <w:top w:val="single" w:sz="4" w:color="E5EAF0"/>
              <w:right w:val="single" w:sz="4" w:color="EEF2F5"/>
              <w:bottom w:val="single" w:sz="4" w:color="E5EAF0"/>
            </w:tcBorders>
          </w:tcPr>
          <w:p>
            <w:r>
              <w:rPr>
                <w:sz w:val="18"/>
              </w:rPr>
              <w:t>CASINO</w:t>
            </w:r>
          </w:p>
        </w:tc>
        <w:tc>
          <w:tcPr>
            <w:tcW w:type="dxa" w:w="1440"/>
            <w:vAlign w:val="center"/>
            <w:tcBorders>
              <w:left w:val="single" w:sz="4" w:color="EEF2F5"/>
              <w:top w:val="single" w:sz="4" w:color="E5EAF0"/>
              <w:right w:val="single" w:sz="4" w:color="EEF2F5"/>
              <w:bottom w:val="single" w:sz="4" w:color="E5EAF0"/>
            </w:tcBorders>
          </w:tcPr>
          <w:p>
            <w:r>
              <w:rPr>
                <w:sz w:val="18"/>
              </w:rPr>
              <w:t>157</w:t>
            </w:r>
          </w:p>
        </w:tc>
        <w:tc>
          <w:tcPr>
            <w:tcW w:type="dxa" w:w="1656"/>
            <w:vAlign w:val="center"/>
            <w:tcBorders>
              <w:left w:val="single" w:sz="4" w:color="EEF2F5"/>
              <w:top w:val="single" w:sz="4" w:color="E5EAF0"/>
              <w:right w:val="single" w:sz="4" w:color="EEF2F5"/>
              <w:bottom w:val="single" w:sz="4" w:color="E5EAF0"/>
            </w:tcBorders>
          </w:tcPr>
          <w:p>
            <w:r>
              <w:rPr>
                <w:sz w:val="18"/>
              </w:rPr>
              <w:t>$56,810.79</w:t>
            </w:r>
          </w:p>
        </w:tc>
        <w:tc>
          <w:tcPr>
            <w:tcW w:type="dxa" w:w="1584"/>
            <w:vAlign w:val="center"/>
            <w:tcBorders>
              <w:left w:val="single" w:sz="4" w:color="EEF2F5"/>
              <w:top w:val="single" w:sz="4" w:color="E5EAF0"/>
              <w:right w:val="single" w:sz="4" w:color="EEF2F5"/>
              <w:bottom w:val="single" w:sz="4" w:color="E5EAF0"/>
            </w:tcBorders>
          </w:tcPr>
          <w:p>
            <w:r>
              <w:rPr>
                <w:sz w:val="18"/>
              </w:rPr>
              <w:t>145</w:t>
            </w:r>
          </w:p>
        </w:tc>
        <w:tc>
          <w:tcPr>
            <w:tcW w:type="dxa" w:w="1656"/>
            <w:vAlign w:val="center"/>
            <w:tcBorders>
              <w:left w:val="single" w:sz="4" w:color="EEF2F5"/>
              <w:top w:val="single" w:sz="4" w:color="E5EAF0"/>
              <w:right w:val="single" w:sz="4" w:color="EEF2F5"/>
              <w:bottom w:val="single" w:sz="4" w:color="E5EAF0"/>
            </w:tcBorders>
          </w:tcPr>
          <w:p>
            <w:r>
              <w:rPr>
                <w:sz w:val="18"/>
              </w:rPr>
              <w:t>$52,866.32</w:t>
            </w:r>
          </w:p>
        </w:tc>
      </w:tr>
      <w:tr>
        <w:tc>
          <w:tcPr>
            <w:tcW w:type="dxa" w:w="1728"/>
            <w:vAlign w:val="center"/>
            <w:tcBorders>
              <w:left w:val="single" w:sz="4" w:color="EEF2F5"/>
              <w:top w:val="single" w:sz="4" w:color="E5EAF0"/>
              <w:right w:val="single" w:sz="4" w:color="EEF2F5"/>
              <w:bottom w:val="single" w:sz="4" w:color="E5EAF0"/>
            </w:tcBorders>
          </w:tcPr>
          <w:p>
            <w:r>
              <w:rPr>
                <w:sz w:val="18"/>
              </w:rPr>
              <w:t>FLORIDA</w:t>
            </w:r>
          </w:p>
        </w:tc>
        <w:tc>
          <w:tcPr>
            <w:tcW w:type="dxa" w:w="1440"/>
            <w:vAlign w:val="center"/>
            <w:tcBorders>
              <w:left w:val="single" w:sz="4" w:color="EEF2F5"/>
              <w:top w:val="single" w:sz="4" w:color="E5EAF0"/>
              <w:right w:val="single" w:sz="4" w:color="EEF2F5"/>
              <w:bottom w:val="single" w:sz="4" w:color="E5EAF0"/>
            </w:tcBorders>
          </w:tcPr>
          <w:p>
            <w:r>
              <w:rPr>
                <w:sz w:val="18"/>
              </w:rPr>
              <w:t>46</w:t>
            </w:r>
          </w:p>
        </w:tc>
        <w:tc>
          <w:tcPr>
            <w:tcW w:type="dxa" w:w="1656"/>
            <w:vAlign w:val="center"/>
            <w:tcBorders>
              <w:left w:val="single" w:sz="4" w:color="EEF2F5"/>
              <w:top w:val="single" w:sz="4" w:color="E5EAF0"/>
              <w:right w:val="single" w:sz="4" w:color="EEF2F5"/>
              <w:bottom w:val="single" w:sz="4" w:color="E5EAF0"/>
            </w:tcBorders>
          </w:tcPr>
          <w:p>
            <w:r>
              <w:rPr>
                <w:sz w:val="18"/>
              </w:rPr>
              <w:t>$29,728.03</w:t>
            </w:r>
          </w:p>
        </w:tc>
        <w:tc>
          <w:tcPr>
            <w:tcW w:type="dxa" w:w="1584"/>
            <w:vAlign w:val="center"/>
            <w:tcBorders>
              <w:left w:val="single" w:sz="4" w:color="EEF2F5"/>
              <w:top w:val="single" w:sz="4" w:color="E5EAF0"/>
              <w:right w:val="single" w:sz="4" w:color="EEF2F5"/>
              <w:bottom w:val="single" w:sz="4" w:color="E5EAF0"/>
            </w:tcBorders>
          </w:tcPr>
          <w:p>
            <w:r>
              <w:rPr>
                <w:sz w:val="18"/>
              </w:rPr>
              <w:t>14</w:t>
            </w:r>
          </w:p>
        </w:tc>
        <w:tc>
          <w:tcPr>
            <w:tcW w:type="dxa" w:w="1656"/>
            <w:vAlign w:val="center"/>
            <w:tcBorders>
              <w:left w:val="single" w:sz="4" w:color="EEF2F5"/>
              <w:top w:val="single" w:sz="4" w:color="E5EAF0"/>
              <w:right w:val="single" w:sz="4" w:color="EEF2F5"/>
              <w:bottom w:val="single" w:sz="4" w:color="E5EAF0"/>
            </w:tcBorders>
          </w:tcPr>
          <w:p>
            <w:r>
              <w:rPr>
                <w:sz w:val="18"/>
              </w:rPr>
              <w:t>$7,316.54</w:t>
            </w:r>
          </w:p>
        </w:tc>
      </w:tr>
      <w:tr>
        <w:tc>
          <w:tcPr>
            <w:tcW w:type="dxa" w:w="1728"/>
            <w:vAlign w:val="center"/>
            <w:tcBorders>
              <w:left w:val="single" w:sz="4" w:color="EEF2F5"/>
              <w:top w:val="single" w:sz="4" w:color="E5EAF0"/>
              <w:right w:val="single" w:sz="4" w:color="EEF2F5"/>
              <w:bottom w:val="single" w:sz="4" w:color="E5EAF0"/>
            </w:tcBorders>
          </w:tcPr>
          <w:p>
            <w:r>
              <w:rPr>
                <w:sz w:val="18"/>
              </w:rPr>
              <w:t>CAYMAN</w:t>
            </w:r>
          </w:p>
        </w:tc>
        <w:tc>
          <w:tcPr>
            <w:tcW w:type="dxa" w:w="1440"/>
            <w:vAlign w:val="center"/>
            <w:tcBorders>
              <w:left w:val="single" w:sz="4" w:color="EEF2F5"/>
              <w:top w:val="single" w:sz="4" w:color="E5EAF0"/>
              <w:right w:val="single" w:sz="4" w:color="EEF2F5"/>
              <w:bottom w:val="single" w:sz="4" w:color="E5EAF0"/>
            </w:tcBorders>
          </w:tcPr>
          <w:p>
            <w:r>
              <w:rPr>
                <w:sz w:val="18"/>
              </w:rPr>
              <w:t>21</w:t>
            </w:r>
          </w:p>
        </w:tc>
        <w:tc>
          <w:tcPr>
            <w:tcW w:type="dxa" w:w="1656"/>
            <w:vAlign w:val="center"/>
            <w:tcBorders>
              <w:left w:val="single" w:sz="4" w:color="EEF2F5"/>
              <w:top w:val="single" w:sz="4" w:color="E5EAF0"/>
              <w:right w:val="single" w:sz="4" w:color="EEF2F5"/>
              <w:bottom w:val="single" w:sz="4" w:color="E5EAF0"/>
            </w:tcBorders>
          </w:tcPr>
          <w:p>
            <w:r>
              <w:rPr>
                <w:sz w:val="18"/>
              </w:rPr>
              <w:t>$15,617.95</w:t>
            </w:r>
          </w:p>
        </w:tc>
        <w:tc>
          <w:tcPr>
            <w:tcW w:type="dxa" w:w="1584"/>
            <w:vAlign w:val="center"/>
            <w:tcBorders>
              <w:left w:val="single" w:sz="4" w:color="EEF2F5"/>
              <w:top w:val="single" w:sz="4" w:color="E5EAF0"/>
              <w:right w:val="single" w:sz="4" w:color="EEF2F5"/>
              <w:bottom w:val="single" w:sz="4" w:color="E5EAF0"/>
            </w:tcBorders>
          </w:tcPr>
          <w:p>
            <w:r>
              <w:rPr>
                <w:sz w:val="18"/>
              </w:rPr>
              <w:t>2</w:t>
            </w:r>
          </w:p>
        </w:tc>
        <w:tc>
          <w:tcPr>
            <w:tcW w:type="dxa" w:w="1656"/>
            <w:vAlign w:val="center"/>
            <w:tcBorders>
              <w:left w:val="single" w:sz="4" w:color="EEF2F5"/>
              <w:top w:val="single" w:sz="4" w:color="E5EAF0"/>
              <w:right w:val="single" w:sz="4" w:color="EEF2F5"/>
              <w:bottom w:val="single" w:sz="4" w:color="E5EAF0"/>
            </w:tcBorders>
          </w:tcPr>
          <w:p>
            <w:r>
              <w:rPr>
                <w:sz w:val="18"/>
              </w:rPr>
              <w:t>$9,359.38</w:t>
            </w:r>
          </w:p>
        </w:tc>
      </w:tr>
      <w:tr>
        <w:tc>
          <w:tcPr>
            <w:tcW w:type="dxa" w:w="1728"/>
            <w:vAlign w:val="center"/>
            <w:tcBorders>
              <w:left w:val="single" w:sz="4" w:color="EEF2F5"/>
              <w:top w:val="single" w:sz="4" w:color="E5EAF0"/>
              <w:right w:val="single" w:sz="4" w:color="EEF2F5"/>
              <w:bottom w:val="single" w:sz="4" w:color="E5EAF0"/>
            </w:tcBorders>
          </w:tcPr>
          <w:p>
            <w:r>
              <w:rPr>
                <w:sz w:val="18"/>
              </w:rPr>
              <w:t>AIRLINE</w:t>
            </w:r>
          </w:p>
        </w:tc>
        <w:tc>
          <w:tcPr>
            <w:tcW w:type="dxa" w:w="1440"/>
            <w:vAlign w:val="center"/>
            <w:tcBorders>
              <w:left w:val="single" w:sz="4" w:color="EEF2F5"/>
              <w:top w:val="single" w:sz="4" w:color="E5EAF0"/>
              <w:right w:val="single" w:sz="4" w:color="EEF2F5"/>
              <w:bottom w:val="single" w:sz="4" w:color="E5EAF0"/>
            </w:tcBorders>
          </w:tcPr>
          <w:p>
            <w:r>
              <w:rPr>
                <w:sz w:val="18"/>
              </w:rPr>
              <w:t>49</w:t>
            </w:r>
          </w:p>
        </w:tc>
        <w:tc>
          <w:tcPr>
            <w:tcW w:type="dxa" w:w="1656"/>
            <w:vAlign w:val="center"/>
            <w:tcBorders>
              <w:left w:val="single" w:sz="4" w:color="EEF2F5"/>
              <w:top w:val="single" w:sz="4" w:color="E5EAF0"/>
              <w:right w:val="single" w:sz="4" w:color="EEF2F5"/>
              <w:bottom w:val="single" w:sz="4" w:color="E5EAF0"/>
            </w:tcBorders>
          </w:tcPr>
          <w:p>
            <w:r>
              <w:rPr>
                <w:sz w:val="18"/>
              </w:rPr>
              <w:t>$0.00</w:t>
            </w:r>
          </w:p>
        </w:tc>
        <w:tc>
          <w:tcPr>
            <w:tcW w:type="dxa" w:w="1584"/>
            <w:vAlign w:val="center"/>
            <w:tcBorders>
              <w:left w:val="single" w:sz="4" w:color="EEF2F5"/>
              <w:top w:val="single" w:sz="4" w:color="E5EAF0"/>
              <w:right w:val="single" w:sz="4" w:color="EEF2F5"/>
              <w:bottom w:val="single" w:sz="4" w:color="E5EAF0"/>
            </w:tcBorders>
          </w:tcPr>
          <w:p>
            <w:r>
              <w:rPr>
                <w:sz w:val="18"/>
              </w:rPr>
              <w:t>34</w:t>
            </w:r>
          </w:p>
        </w:tc>
        <w:tc>
          <w:tcPr>
            <w:tcW w:type="dxa" w:w="1656"/>
            <w:vAlign w:val="center"/>
            <w:tcBorders>
              <w:left w:val="single" w:sz="4" w:color="EEF2F5"/>
              <w:top w:val="single" w:sz="4" w:color="E5EAF0"/>
              <w:right w:val="single" w:sz="4" w:color="EEF2F5"/>
              <w:bottom w:val="single" w:sz="4" w:color="E5EAF0"/>
            </w:tcBorders>
          </w:tcPr>
          <w:p>
            <w:r>
              <w:rPr>
                <w:sz w:val="18"/>
              </w:rPr>
              <w:t>$0.00</w:t>
            </w:r>
          </w:p>
        </w:tc>
      </w:tr>
      <w:tr>
        <w:tc>
          <w:tcPr>
            <w:tcW w:type="dxa" w:w="1728"/>
            <w:vAlign w:val="center"/>
            <w:tcBorders>
              <w:left w:val="single" w:sz="4" w:color="EEF2F5"/>
              <w:top w:val="single" w:sz="4" w:color="E5EAF0"/>
              <w:right w:val="single" w:sz="4" w:color="EEF2F5"/>
              <w:bottom w:val="single" w:sz="4" w:color="E5EAF0"/>
            </w:tcBorders>
          </w:tcPr>
          <w:p>
            <w:r>
              <w:rPr>
                <w:sz w:val="18"/>
              </w:rPr>
              <w:t>LODGING</w:t>
            </w:r>
          </w:p>
        </w:tc>
        <w:tc>
          <w:tcPr>
            <w:tcW w:type="dxa" w:w="1440"/>
            <w:vAlign w:val="center"/>
            <w:tcBorders>
              <w:left w:val="single" w:sz="4" w:color="EEF2F5"/>
              <w:top w:val="single" w:sz="4" w:color="E5EAF0"/>
              <w:right w:val="single" w:sz="4" w:color="EEF2F5"/>
              <w:bottom w:val="single" w:sz="4" w:color="E5EAF0"/>
            </w:tcBorders>
          </w:tcPr>
          <w:p>
            <w:r>
              <w:rPr>
                <w:sz w:val="18"/>
              </w:rPr>
              <w:t>2,264</w:t>
            </w:r>
          </w:p>
        </w:tc>
        <w:tc>
          <w:tcPr>
            <w:tcW w:type="dxa" w:w="1656"/>
            <w:vAlign w:val="center"/>
            <w:tcBorders>
              <w:left w:val="single" w:sz="4" w:color="EEF2F5"/>
              <w:top w:val="single" w:sz="4" w:color="E5EAF0"/>
              <w:right w:val="single" w:sz="4" w:color="EEF2F5"/>
              <w:bottom w:val="single" w:sz="4" w:color="E5EAF0"/>
            </w:tcBorders>
          </w:tcPr>
          <w:p>
            <w:r>
              <w:rPr>
                <w:sz w:val="18"/>
              </w:rPr>
              <w:t>$0.00</w:t>
            </w:r>
          </w:p>
        </w:tc>
        <w:tc>
          <w:tcPr>
            <w:tcW w:type="dxa" w:w="1584"/>
            <w:vAlign w:val="center"/>
            <w:tcBorders>
              <w:left w:val="single" w:sz="4" w:color="EEF2F5"/>
              <w:top w:val="single" w:sz="4" w:color="E5EAF0"/>
              <w:right w:val="single" w:sz="4" w:color="EEF2F5"/>
              <w:bottom w:val="single" w:sz="4" w:color="E5EAF0"/>
            </w:tcBorders>
          </w:tcPr>
          <w:p>
            <w:r>
              <w:rPr>
                <w:sz w:val="18"/>
              </w:rPr>
              <w:t>10,064</w:t>
            </w:r>
          </w:p>
        </w:tc>
        <w:tc>
          <w:tcPr>
            <w:tcW w:type="dxa" w:w="1656"/>
            <w:vAlign w:val="center"/>
            <w:tcBorders>
              <w:left w:val="single" w:sz="4" w:color="EEF2F5"/>
              <w:top w:val="single" w:sz="4" w:color="E5EAF0"/>
              <w:right w:val="single" w:sz="4" w:color="EEF2F5"/>
              <w:bottom w:val="single" w:sz="4" w:color="E5EAF0"/>
            </w:tcBorders>
          </w:tcPr>
          <w:p>
            <w:r>
              <w:rPr>
                <w:sz w:val="18"/>
              </w:rPr>
              <w:t>$0.00</w:t>
            </w:r>
          </w:p>
        </w:tc>
      </w:tr>
    </w:tbl>
    <w:p>
      <w:pPr>
        <w:pStyle w:val="Heading2"/>
      </w:pPr>
      <w:r>
        <w:t>Trip-chain screening note</w:t>
      </w:r>
    </w:p>
    <w:p>
      <w:r>
        <w:t>A candidate trip-chain layer was also generated to match airline exhibit rows with nearby lodging or destination rows for the same department. It is a screening layer, not final proof, but it helps identify where separate travel files likely describe the same trip.</w:t>
      </w:r>
    </w:p>
    <w:tbl>
      <w:tblPr>
        <w:tblStyle w:val="TableGrid"/>
        <w:tblW w:type="auto" w:w="0"/>
        <w:jc w:val="center"/>
        <w:tblLook w:firstColumn="1" w:firstRow="1" w:lastColumn="0" w:lastRow="0" w:noHBand="0" w:noVBand="1" w:val="04A0"/>
      </w:tblPr>
      <w:tblGrid>
        <w:gridCol w:w="2484"/>
        <w:gridCol w:w="2484"/>
        <w:gridCol w:w="2484"/>
        <w:gridCol w:w="2484"/>
      </w:tblGrid>
      <w:tr>
        <w:tc>
          <w:tcPr>
            <w:tcW w:type="dxa" w:w="4032"/>
            <w:shd w:fill="EAF2F8"/>
            <w:vAlign w:val="center"/>
            <w:tcBorders>
              <w:left w:val="single" w:sz="8" w:color="D6DEE5"/>
              <w:top w:val="single" w:sz="8" w:color="B8C4CE"/>
              <w:right w:val="single" w:sz="8" w:color="D6DEE5"/>
              <w:bottom w:val="single" w:sz="8" w:color="B8C4CE"/>
            </w:tcBorders>
          </w:tcPr>
          <w:p>
            <w:r>
              <w:rPr>
                <w:b/>
                <w:sz w:val="18"/>
              </w:rPr>
              <w:t>DEPT_NAME</w:t>
            </w:r>
          </w:p>
        </w:tc>
        <w:tc>
          <w:tcPr>
            <w:tcW w:type="dxa" w:w="1440"/>
            <w:shd w:fill="EAF2F8"/>
            <w:vAlign w:val="center"/>
            <w:tcBorders>
              <w:left w:val="single" w:sz="8" w:color="D6DEE5"/>
              <w:top w:val="single" w:sz="8" w:color="B8C4CE"/>
              <w:right w:val="single" w:sz="8" w:color="D6DEE5"/>
              <w:bottom w:val="single" w:sz="8" w:color="B8C4CE"/>
            </w:tcBorders>
          </w:tcPr>
          <w:p>
            <w:r>
              <w:rPr>
                <w:b/>
                <w:sz w:val="18"/>
              </w:rPr>
              <w:t>candidate_pairs</w:t>
            </w:r>
          </w:p>
        </w:tc>
        <w:tc>
          <w:tcPr>
            <w:tcW w:type="dxa" w:w="1584"/>
            <w:shd w:fill="EAF2F8"/>
            <w:vAlign w:val="center"/>
            <w:tcBorders>
              <w:left w:val="single" w:sz="8" w:color="D6DEE5"/>
              <w:top w:val="single" w:sz="8" w:color="B8C4CE"/>
              <w:right w:val="single" w:sz="8" w:color="D6DEE5"/>
              <w:bottom w:val="single" w:sz="8" w:color="B8C4CE"/>
            </w:tcBorders>
          </w:tcPr>
          <w:p>
            <w:r>
              <w:rPr>
                <w:b/>
                <w:sz w:val="18"/>
              </w:rPr>
              <w:t>airline_amount_total</w:t>
            </w:r>
          </w:p>
        </w:tc>
        <w:tc>
          <w:tcPr>
            <w:tcW w:type="dxa" w:w="1584"/>
            <w:shd w:fill="EAF2F8"/>
            <w:vAlign w:val="center"/>
            <w:tcBorders>
              <w:left w:val="single" w:sz="8" w:color="D6DEE5"/>
              <w:top w:val="single" w:sz="8" w:color="B8C4CE"/>
              <w:right w:val="single" w:sz="8" w:color="D6DEE5"/>
              <w:bottom w:val="single" w:sz="8" w:color="B8C4CE"/>
            </w:tcBorders>
          </w:tcPr>
          <w:p>
            <w:r>
              <w:rPr>
                <w:b/>
                <w:sz w:val="18"/>
              </w:rPr>
              <w:t>ground_amount_total</w:t>
            </w:r>
          </w:p>
        </w:tc>
      </w:tr>
      <w:tr>
        <w:tc>
          <w:tcPr>
            <w:tcW w:type="dxa" w:w="4032"/>
            <w:vAlign w:val="center"/>
            <w:tcBorders>
              <w:left w:val="single" w:sz="4" w:color="EEF2F5"/>
              <w:top w:val="single" w:sz="4" w:color="E5EAF0"/>
              <w:right w:val="single" w:sz="4" w:color="EEF2F5"/>
              <w:bottom w:val="single" w:sz="4" w:color="E5EAF0"/>
            </w:tcBorders>
          </w:tcPr>
          <w:p>
            <w:r>
              <w:rPr>
                <w:sz w:val="18"/>
              </w:rPr>
              <w:t>DEPT OF STATE</w:t>
            </w:r>
          </w:p>
        </w:tc>
        <w:tc>
          <w:tcPr>
            <w:tcW w:type="dxa" w:w="1440"/>
            <w:vAlign w:val="center"/>
            <w:tcBorders>
              <w:left w:val="single" w:sz="4" w:color="EEF2F5"/>
              <w:top w:val="single" w:sz="4" w:color="E5EAF0"/>
              <w:right w:val="single" w:sz="4" w:color="EEF2F5"/>
              <w:bottom w:val="single" w:sz="4" w:color="E5EAF0"/>
            </w:tcBorders>
          </w:tcPr>
          <w:p>
            <w:r>
              <w:rPr>
                <w:sz w:val="18"/>
              </w:rPr>
              <w:t>176</w:t>
            </w:r>
          </w:p>
        </w:tc>
        <w:tc>
          <w:tcPr>
            <w:tcW w:type="dxa" w:w="1584"/>
            <w:vAlign w:val="center"/>
            <w:tcBorders>
              <w:left w:val="single" w:sz="4" w:color="EEF2F5"/>
              <w:top w:val="single" w:sz="4" w:color="E5EAF0"/>
              <w:right w:val="single" w:sz="4" w:color="EEF2F5"/>
              <w:bottom w:val="single" w:sz="4" w:color="E5EAF0"/>
            </w:tcBorders>
          </w:tcPr>
          <w:p>
            <w:r>
              <w:rPr>
                <w:sz w:val="18"/>
              </w:rPr>
              <w:t>$1,012,088.84</w:t>
            </w:r>
          </w:p>
        </w:tc>
        <w:tc>
          <w:tcPr>
            <w:tcW w:type="dxa" w:w="1584"/>
            <w:vAlign w:val="center"/>
            <w:tcBorders>
              <w:left w:val="single" w:sz="4" w:color="EEF2F5"/>
              <w:top w:val="single" w:sz="4" w:color="E5EAF0"/>
              <w:right w:val="single" w:sz="4" w:color="EEF2F5"/>
              <w:bottom w:val="single" w:sz="4" w:color="E5EAF0"/>
            </w:tcBorders>
          </w:tcPr>
          <w:p>
            <w:r>
              <w:rPr>
                <w:sz w:val="18"/>
              </w:rPr>
              <w:t>$51,536.35</w:t>
            </w:r>
          </w:p>
        </w:tc>
      </w:tr>
      <w:tr>
        <w:tc>
          <w:tcPr>
            <w:tcW w:type="dxa" w:w="4032"/>
            <w:vAlign w:val="center"/>
            <w:tcBorders>
              <w:left w:val="single" w:sz="4" w:color="EEF2F5"/>
              <w:top w:val="single" w:sz="4" w:color="E5EAF0"/>
              <w:right w:val="single" w:sz="4" w:color="EEF2F5"/>
              <w:bottom w:val="single" w:sz="4" w:color="E5EAF0"/>
            </w:tcBorders>
          </w:tcPr>
          <w:p>
            <w:r>
              <w:rPr>
                <w:sz w:val="18"/>
              </w:rPr>
              <w:t>DEL TECH AND COMM COLLEGE</w:t>
            </w:r>
          </w:p>
        </w:tc>
        <w:tc>
          <w:tcPr>
            <w:tcW w:type="dxa" w:w="1440"/>
            <w:vAlign w:val="center"/>
            <w:tcBorders>
              <w:left w:val="single" w:sz="4" w:color="EEF2F5"/>
              <w:top w:val="single" w:sz="4" w:color="E5EAF0"/>
              <w:right w:val="single" w:sz="4" w:color="EEF2F5"/>
              <w:bottom w:val="single" w:sz="4" w:color="E5EAF0"/>
            </w:tcBorders>
          </w:tcPr>
          <w:p>
            <w:r>
              <w:rPr>
                <w:sz w:val="18"/>
              </w:rPr>
              <w:t>62</w:t>
            </w:r>
          </w:p>
        </w:tc>
        <w:tc>
          <w:tcPr>
            <w:tcW w:type="dxa" w:w="1584"/>
            <w:vAlign w:val="center"/>
            <w:tcBorders>
              <w:left w:val="single" w:sz="4" w:color="EEF2F5"/>
              <w:top w:val="single" w:sz="4" w:color="E5EAF0"/>
              <w:right w:val="single" w:sz="4" w:color="EEF2F5"/>
              <w:bottom w:val="single" w:sz="4" w:color="E5EAF0"/>
            </w:tcBorders>
          </w:tcPr>
          <w:p>
            <w:r>
              <w:rPr>
                <w:sz w:val="18"/>
              </w:rPr>
              <w:t>$735,794.21</w:t>
            </w:r>
          </w:p>
        </w:tc>
        <w:tc>
          <w:tcPr>
            <w:tcW w:type="dxa" w:w="1584"/>
            <w:vAlign w:val="center"/>
            <w:tcBorders>
              <w:left w:val="single" w:sz="4" w:color="EEF2F5"/>
              <w:top w:val="single" w:sz="4" w:color="E5EAF0"/>
              <w:right w:val="single" w:sz="4" w:color="EEF2F5"/>
              <w:bottom w:val="single" w:sz="4" w:color="E5EAF0"/>
            </w:tcBorders>
          </w:tcPr>
          <w:p>
            <w:r>
              <w:rPr>
                <w:sz w:val="18"/>
              </w:rPr>
              <w:t>$64,907.39</w:t>
            </w:r>
          </w:p>
        </w:tc>
      </w:tr>
      <w:tr>
        <w:tc>
          <w:tcPr>
            <w:tcW w:type="dxa" w:w="4032"/>
            <w:vAlign w:val="center"/>
            <w:tcBorders>
              <w:left w:val="single" w:sz="4" w:color="EEF2F5"/>
              <w:top w:val="single" w:sz="4" w:color="E5EAF0"/>
              <w:right w:val="single" w:sz="4" w:color="EEF2F5"/>
              <w:bottom w:val="single" w:sz="4" w:color="E5EAF0"/>
            </w:tcBorders>
          </w:tcPr>
          <w:p>
            <w:r>
              <w:rPr>
                <w:sz w:val="18"/>
              </w:rPr>
              <w:t>DEPT OF SAFETY AND HOMELAND</w:t>
            </w:r>
          </w:p>
        </w:tc>
        <w:tc>
          <w:tcPr>
            <w:tcW w:type="dxa" w:w="1440"/>
            <w:vAlign w:val="center"/>
            <w:tcBorders>
              <w:left w:val="single" w:sz="4" w:color="EEF2F5"/>
              <w:top w:val="single" w:sz="4" w:color="E5EAF0"/>
              <w:right w:val="single" w:sz="4" w:color="EEF2F5"/>
              <w:bottom w:val="single" w:sz="4" w:color="E5EAF0"/>
            </w:tcBorders>
          </w:tcPr>
          <w:p>
            <w:r>
              <w:rPr>
                <w:sz w:val="18"/>
              </w:rPr>
              <w:t>29</w:t>
            </w:r>
          </w:p>
        </w:tc>
        <w:tc>
          <w:tcPr>
            <w:tcW w:type="dxa" w:w="1584"/>
            <w:vAlign w:val="center"/>
            <w:tcBorders>
              <w:left w:val="single" w:sz="4" w:color="EEF2F5"/>
              <w:top w:val="single" w:sz="4" w:color="E5EAF0"/>
              <w:right w:val="single" w:sz="4" w:color="EEF2F5"/>
              <w:bottom w:val="single" w:sz="4" w:color="E5EAF0"/>
            </w:tcBorders>
          </w:tcPr>
          <w:p>
            <w:r>
              <w:rPr>
                <w:sz w:val="18"/>
              </w:rPr>
              <w:t>$271,641.83</w:t>
            </w:r>
          </w:p>
        </w:tc>
        <w:tc>
          <w:tcPr>
            <w:tcW w:type="dxa" w:w="1584"/>
            <w:vAlign w:val="center"/>
            <w:tcBorders>
              <w:left w:val="single" w:sz="4" w:color="EEF2F5"/>
              <w:top w:val="single" w:sz="4" w:color="E5EAF0"/>
              <w:right w:val="single" w:sz="4" w:color="EEF2F5"/>
              <w:bottom w:val="single" w:sz="4" w:color="E5EAF0"/>
            </w:tcBorders>
          </w:tcPr>
          <w:p>
            <w:r>
              <w:rPr>
                <w:sz w:val="18"/>
              </w:rPr>
              <w:t>$5,305.50</w:t>
            </w:r>
          </w:p>
        </w:tc>
      </w:tr>
      <w:tr>
        <w:tc>
          <w:tcPr>
            <w:tcW w:type="dxa" w:w="4032"/>
            <w:vAlign w:val="center"/>
            <w:tcBorders>
              <w:left w:val="single" w:sz="4" w:color="EEF2F5"/>
              <w:top w:val="single" w:sz="4" w:color="E5EAF0"/>
              <w:right w:val="single" w:sz="4" w:color="EEF2F5"/>
              <w:bottom w:val="single" w:sz="4" w:color="E5EAF0"/>
            </w:tcBorders>
          </w:tcPr>
          <w:p>
            <w:r>
              <w:rPr>
                <w:sz w:val="18"/>
              </w:rPr>
              <w:t>CAPE HENLOPEN SCHOOL DISTRICT</w:t>
            </w:r>
          </w:p>
        </w:tc>
        <w:tc>
          <w:tcPr>
            <w:tcW w:type="dxa" w:w="1440"/>
            <w:vAlign w:val="center"/>
            <w:tcBorders>
              <w:left w:val="single" w:sz="4" w:color="EEF2F5"/>
              <w:top w:val="single" w:sz="4" w:color="E5EAF0"/>
              <w:right w:val="single" w:sz="4" w:color="EEF2F5"/>
              <w:bottom w:val="single" w:sz="4" w:color="E5EAF0"/>
            </w:tcBorders>
          </w:tcPr>
          <w:p>
            <w:r>
              <w:rPr>
                <w:sz w:val="18"/>
              </w:rPr>
              <w:t>13</w:t>
            </w:r>
          </w:p>
        </w:tc>
        <w:tc>
          <w:tcPr>
            <w:tcW w:type="dxa" w:w="1584"/>
            <w:vAlign w:val="center"/>
            <w:tcBorders>
              <w:left w:val="single" w:sz="4" w:color="EEF2F5"/>
              <w:top w:val="single" w:sz="4" w:color="E5EAF0"/>
              <w:right w:val="single" w:sz="4" w:color="EEF2F5"/>
              <w:bottom w:val="single" w:sz="4" w:color="E5EAF0"/>
            </w:tcBorders>
          </w:tcPr>
          <w:p>
            <w:r>
              <w:rPr>
                <w:sz w:val="18"/>
              </w:rPr>
              <w:t>$92,387.64</w:t>
            </w:r>
          </w:p>
        </w:tc>
        <w:tc>
          <w:tcPr>
            <w:tcW w:type="dxa" w:w="1584"/>
            <w:vAlign w:val="center"/>
            <w:tcBorders>
              <w:left w:val="single" w:sz="4" w:color="EEF2F5"/>
              <w:top w:val="single" w:sz="4" w:color="E5EAF0"/>
              <w:right w:val="single" w:sz="4" w:color="EEF2F5"/>
              <w:bottom w:val="single" w:sz="4" w:color="E5EAF0"/>
            </w:tcBorders>
          </w:tcPr>
          <w:p>
            <w:r>
              <w:rPr>
                <w:sz w:val="18"/>
              </w:rPr>
              <w:t>$4,443.06</w:t>
            </w:r>
          </w:p>
        </w:tc>
      </w:tr>
      <w:tr>
        <w:tc>
          <w:tcPr>
            <w:tcW w:type="dxa" w:w="4032"/>
            <w:vAlign w:val="center"/>
            <w:tcBorders>
              <w:left w:val="single" w:sz="4" w:color="EEF2F5"/>
              <w:top w:val="single" w:sz="4" w:color="E5EAF0"/>
              <w:right w:val="single" w:sz="4" w:color="EEF2F5"/>
              <w:bottom w:val="single" w:sz="4" w:color="E5EAF0"/>
            </w:tcBorders>
          </w:tcPr>
          <w:p>
            <w:r>
              <w:rPr>
                <w:sz w:val="18"/>
              </w:rPr>
              <w:t>APPOQUINIMINK SCHOOL DISTRICT</w:t>
            </w:r>
          </w:p>
        </w:tc>
        <w:tc>
          <w:tcPr>
            <w:tcW w:type="dxa" w:w="1440"/>
            <w:vAlign w:val="center"/>
            <w:tcBorders>
              <w:left w:val="single" w:sz="4" w:color="EEF2F5"/>
              <w:top w:val="single" w:sz="4" w:color="E5EAF0"/>
              <w:right w:val="single" w:sz="4" w:color="EEF2F5"/>
              <w:bottom w:val="single" w:sz="4" w:color="E5EAF0"/>
            </w:tcBorders>
          </w:tcPr>
          <w:p>
            <w:r>
              <w:rPr>
                <w:sz w:val="18"/>
              </w:rPr>
              <w:t>9</w:t>
            </w:r>
          </w:p>
        </w:tc>
        <w:tc>
          <w:tcPr>
            <w:tcW w:type="dxa" w:w="1584"/>
            <w:vAlign w:val="center"/>
            <w:tcBorders>
              <w:left w:val="single" w:sz="4" w:color="EEF2F5"/>
              <w:top w:val="single" w:sz="4" w:color="E5EAF0"/>
              <w:right w:val="single" w:sz="4" w:color="EEF2F5"/>
              <w:bottom w:val="single" w:sz="4" w:color="E5EAF0"/>
            </w:tcBorders>
          </w:tcPr>
          <w:p>
            <w:r>
              <w:rPr>
                <w:sz w:val="18"/>
              </w:rPr>
              <w:t>$45,564.40</w:t>
            </w:r>
          </w:p>
        </w:tc>
        <w:tc>
          <w:tcPr>
            <w:tcW w:type="dxa" w:w="1584"/>
            <w:vAlign w:val="center"/>
            <w:tcBorders>
              <w:left w:val="single" w:sz="4" w:color="EEF2F5"/>
              <w:top w:val="single" w:sz="4" w:color="E5EAF0"/>
              <w:right w:val="single" w:sz="4" w:color="EEF2F5"/>
              <w:bottom w:val="single" w:sz="4" w:color="E5EAF0"/>
            </w:tcBorders>
          </w:tcPr>
          <w:p>
            <w:r>
              <w:rPr>
                <w:sz w:val="18"/>
              </w:rPr>
              <w:t>$8,101.61</w:t>
            </w:r>
          </w:p>
        </w:tc>
      </w:tr>
      <w:tr>
        <w:tc>
          <w:tcPr>
            <w:tcW w:type="dxa" w:w="4032"/>
            <w:vAlign w:val="center"/>
            <w:tcBorders>
              <w:left w:val="single" w:sz="4" w:color="EEF2F5"/>
              <w:top w:val="single" w:sz="4" w:color="E5EAF0"/>
              <w:right w:val="single" w:sz="4" w:color="EEF2F5"/>
              <w:bottom w:val="single" w:sz="4" w:color="E5EAF0"/>
            </w:tcBorders>
          </w:tcPr>
          <w:p>
            <w:r>
              <w:rPr>
                <w:sz w:val="18"/>
              </w:rPr>
              <w:t>CAESAR RODNEY SCHOOL DISTRICT</w:t>
            </w:r>
          </w:p>
        </w:tc>
        <w:tc>
          <w:tcPr>
            <w:tcW w:type="dxa" w:w="1440"/>
            <w:vAlign w:val="center"/>
            <w:tcBorders>
              <w:left w:val="single" w:sz="4" w:color="EEF2F5"/>
              <w:top w:val="single" w:sz="4" w:color="E5EAF0"/>
              <w:right w:val="single" w:sz="4" w:color="EEF2F5"/>
              <w:bottom w:val="single" w:sz="4" w:color="E5EAF0"/>
            </w:tcBorders>
          </w:tcPr>
          <w:p>
            <w:r>
              <w:rPr>
                <w:sz w:val="18"/>
              </w:rPr>
              <w:t>8</w:t>
            </w:r>
          </w:p>
        </w:tc>
        <w:tc>
          <w:tcPr>
            <w:tcW w:type="dxa" w:w="1584"/>
            <w:vAlign w:val="center"/>
            <w:tcBorders>
              <w:left w:val="single" w:sz="4" w:color="EEF2F5"/>
              <w:top w:val="single" w:sz="4" w:color="E5EAF0"/>
              <w:right w:val="single" w:sz="4" w:color="EEF2F5"/>
              <w:bottom w:val="single" w:sz="4" w:color="E5EAF0"/>
            </w:tcBorders>
          </w:tcPr>
          <w:p>
            <w:r>
              <w:rPr>
                <w:sz w:val="18"/>
              </w:rPr>
              <w:t>$114,762.78</w:t>
            </w:r>
          </w:p>
        </w:tc>
        <w:tc>
          <w:tcPr>
            <w:tcW w:type="dxa" w:w="1584"/>
            <w:vAlign w:val="center"/>
            <w:tcBorders>
              <w:left w:val="single" w:sz="4" w:color="EEF2F5"/>
              <w:top w:val="single" w:sz="4" w:color="E5EAF0"/>
              <w:right w:val="single" w:sz="4" w:color="EEF2F5"/>
              <w:bottom w:val="single" w:sz="4" w:color="E5EAF0"/>
            </w:tcBorders>
          </w:tcPr>
          <w:p>
            <w:r>
              <w:rPr>
                <w:sz w:val="18"/>
              </w:rPr>
              <w:t>$1,083.26</w:t>
            </w:r>
          </w:p>
        </w:tc>
      </w:tr>
      <w:tr>
        <w:tc>
          <w:tcPr>
            <w:tcW w:type="dxa" w:w="4032"/>
            <w:vAlign w:val="center"/>
            <w:tcBorders>
              <w:left w:val="single" w:sz="4" w:color="EEF2F5"/>
              <w:top w:val="single" w:sz="4" w:color="E5EAF0"/>
              <w:right w:val="single" w:sz="4" w:color="EEF2F5"/>
              <w:bottom w:val="single" w:sz="4" w:color="E5EAF0"/>
            </w:tcBorders>
          </w:tcPr>
          <w:p>
            <w:r>
              <w:rPr>
                <w:sz w:val="18"/>
              </w:rPr>
              <w:t>NEWARK CHARTER SCHOOL</w:t>
            </w:r>
          </w:p>
        </w:tc>
        <w:tc>
          <w:tcPr>
            <w:tcW w:type="dxa" w:w="1440"/>
            <w:vAlign w:val="center"/>
            <w:tcBorders>
              <w:left w:val="single" w:sz="4" w:color="EEF2F5"/>
              <w:top w:val="single" w:sz="4" w:color="E5EAF0"/>
              <w:right w:val="single" w:sz="4" w:color="EEF2F5"/>
              <w:bottom w:val="single" w:sz="4" w:color="E5EAF0"/>
            </w:tcBorders>
          </w:tcPr>
          <w:p>
            <w:r>
              <w:rPr>
                <w:sz w:val="18"/>
              </w:rPr>
              <w:t>5</w:t>
            </w:r>
          </w:p>
        </w:tc>
        <w:tc>
          <w:tcPr>
            <w:tcW w:type="dxa" w:w="1584"/>
            <w:vAlign w:val="center"/>
            <w:tcBorders>
              <w:left w:val="single" w:sz="4" w:color="EEF2F5"/>
              <w:top w:val="single" w:sz="4" w:color="E5EAF0"/>
              <w:right w:val="single" w:sz="4" w:color="EEF2F5"/>
              <w:bottom w:val="single" w:sz="4" w:color="E5EAF0"/>
            </w:tcBorders>
          </w:tcPr>
          <w:p>
            <w:r>
              <w:rPr>
                <w:sz w:val="18"/>
              </w:rPr>
              <w:t>$42,328.20</w:t>
            </w:r>
          </w:p>
        </w:tc>
        <w:tc>
          <w:tcPr>
            <w:tcW w:type="dxa" w:w="1584"/>
            <w:vAlign w:val="center"/>
            <w:tcBorders>
              <w:left w:val="single" w:sz="4" w:color="EEF2F5"/>
              <w:top w:val="single" w:sz="4" w:color="E5EAF0"/>
              <w:right w:val="single" w:sz="4" w:color="EEF2F5"/>
              <w:bottom w:val="single" w:sz="4" w:color="E5EAF0"/>
            </w:tcBorders>
          </w:tcPr>
          <w:p>
            <w:r>
              <w:rPr>
                <w:sz w:val="18"/>
              </w:rPr>
              <w:t>$7,195.35</w:t>
            </w:r>
          </w:p>
        </w:tc>
      </w:tr>
      <w:tr>
        <w:tc>
          <w:tcPr>
            <w:tcW w:type="dxa" w:w="4032"/>
            <w:vAlign w:val="center"/>
            <w:tcBorders>
              <w:left w:val="single" w:sz="4" w:color="EEF2F5"/>
              <w:top w:val="single" w:sz="4" w:color="E5EAF0"/>
              <w:right w:val="single" w:sz="4" w:color="EEF2F5"/>
              <w:bottom w:val="single" w:sz="4" w:color="E5EAF0"/>
            </w:tcBorders>
          </w:tcPr>
          <w:p>
            <w:r>
              <w:rPr>
                <w:sz w:val="18"/>
              </w:rPr>
              <w:t>CAPITAL SCHOOL DISTRICT</w:t>
            </w:r>
          </w:p>
        </w:tc>
        <w:tc>
          <w:tcPr>
            <w:tcW w:type="dxa" w:w="1440"/>
            <w:vAlign w:val="center"/>
            <w:tcBorders>
              <w:left w:val="single" w:sz="4" w:color="EEF2F5"/>
              <w:top w:val="single" w:sz="4" w:color="E5EAF0"/>
              <w:right w:val="single" w:sz="4" w:color="EEF2F5"/>
              <w:bottom w:val="single" w:sz="4" w:color="E5EAF0"/>
            </w:tcBorders>
          </w:tcPr>
          <w:p>
            <w:r>
              <w:rPr>
                <w:sz w:val="18"/>
              </w:rPr>
              <w:t>2</w:t>
            </w:r>
          </w:p>
        </w:tc>
        <w:tc>
          <w:tcPr>
            <w:tcW w:type="dxa" w:w="1584"/>
            <w:vAlign w:val="center"/>
            <w:tcBorders>
              <w:left w:val="single" w:sz="4" w:color="EEF2F5"/>
              <w:top w:val="single" w:sz="4" w:color="E5EAF0"/>
              <w:right w:val="single" w:sz="4" w:color="EEF2F5"/>
              <w:bottom w:val="single" w:sz="4" w:color="E5EAF0"/>
            </w:tcBorders>
          </w:tcPr>
          <w:p>
            <w:r>
              <w:rPr>
                <w:sz w:val="18"/>
              </w:rPr>
              <w:t>$8,651.40</w:t>
            </w:r>
          </w:p>
        </w:tc>
        <w:tc>
          <w:tcPr>
            <w:tcW w:type="dxa" w:w="1584"/>
            <w:vAlign w:val="center"/>
            <w:tcBorders>
              <w:left w:val="single" w:sz="4" w:color="EEF2F5"/>
              <w:top w:val="single" w:sz="4" w:color="E5EAF0"/>
              <w:right w:val="single" w:sz="4" w:color="EEF2F5"/>
              <w:bottom w:val="single" w:sz="4" w:color="E5EAF0"/>
            </w:tcBorders>
          </w:tcPr>
          <w:p>
            <w:r>
              <w:rPr>
                <w:sz w:val="18"/>
              </w:rPr>
              <w:t>$1,046.28</w:t>
            </w:r>
          </w:p>
        </w:tc>
      </w:tr>
      <w:tr>
        <w:tc>
          <w:tcPr>
            <w:tcW w:type="dxa" w:w="4032"/>
            <w:vAlign w:val="center"/>
            <w:tcBorders>
              <w:left w:val="single" w:sz="4" w:color="EEF2F5"/>
              <w:top w:val="single" w:sz="4" w:color="E5EAF0"/>
              <w:right w:val="single" w:sz="4" w:color="EEF2F5"/>
              <w:bottom w:val="single" w:sz="4" w:color="E5EAF0"/>
            </w:tcBorders>
          </w:tcPr>
          <w:p>
            <w:r>
              <w:rPr>
                <w:sz w:val="18"/>
              </w:rPr>
              <w:t>CHRISTINA SCHOOL DISTRICT</w:t>
            </w:r>
          </w:p>
        </w:tc>
        <w:tc>
          <w:tcPr>
            <w:tcW w:type="dxa" w:w="1440"/>
            <w:vAlign w:val="center"/>
            <w:tcBorders>
              <w:left w:val="single" w:sz="4" w:color="EEF2F5"/>
              <w:top w:val="single" w:sz="4" w:color="E5EAF0"/>
              <w:right w:val="single" w:sz="4" w:color="EEF2F5"/>
              <w:bottom w:val="single" w:sz="4" w:color="E5EAF0"/>
            </w:tcBorders>
          </w:tcPr>
          <w:p>
            <w:r>
              <w:rPr>
                <w:sz w:val="18"/>
              </w:rPr>
              <w:t>2</w:t>
            </w:r>
          </w:p>
        </w:tc>
        <w:tc>
          <w:tcPr>
            <w:tcW w:type="dxa" w:w="1584"/>
            <w:vAlign w:val="center"/>
            <w:tcBorders>
              <w:left w:val="single" w:sz="4" w:color="EEF2F5"/>
              <w:top w:val="single" w:sz="4" w:color="E5EAF0"/>
              <w:right w:val="single" w:sz="4" w:color="EEF2F5"/>
              <w:bottom w:val="single" w:sz="4" w:color="E5EAF0"/>
            </w:tcBorders>
          </w:tcPr>
          <w:p>
            <w:r>
              <w:rPr>
                <w:sz w:val="18"/>
              </w:rPr>
              <w:t>$15,706.86</w:t>
            </w:r>
          </w:p>
        </w:tc>
        <w:tc>
          <w:tcPr>
            <w:tcW w:type="dxa" w:w="1584"/>
            <w:vAlign w:val="center"/>
            <w:tcBorders>
              <w:left w:val="single" w:sz="4" w:color="EEF2F5"/>
              <w:top w:val="single" w:sz="4" w:color="E5EAF0"/>
              <w:right w:val="single" w:sz="4" w:color="EEF2F5"/>
              <w:bottom w:val="single" w:sz="4" w:color="E5EAF0"/>
            </w:tcBorders>
          </w:tcPr>
          <w:p>
            <w:r>
              <w:rPr>
                <w:sz w:val="18"/>
              </w:rPr>
              <w:t>$340.00</w:t>
            </w:r>
          </w:p>
        </w:tc>
      </w:tr>
      <w:tr>
        <w:tc>
          <w:tcPr>
            <w:tcW w:type="dxa" w:w="4032"/>
            <w:vAlign w:val="center"/>
            <w:tcBorders>
              <w:left w:val="single" w:sz="4" w:color="EEF2F5"/>
              <w:top w:val="single" w:sz="4" w:color="E5EAF0"/>
              <w:right w:val="single" w:sz="4" w:color="EEF2F5"/>
              <w:bottom w:val="single" w:sz="4" w:color="E5EAF0"/>
            </w:tcBorders>
          </w:tcPr>
          <w:p>
            <w:r>
              <w:rPr>
                <w:sz w:val="18"/>
              </w:rPr>
              <w:t>LAKE FOREST SCHOOL DISTRICT</w:t>
            </w:r>
          </w:p>
        </w:tc>
        <w:tc>
          <w:tcPr>
            <w:tcW w:type="dxa" w:w="1440"/>
            <w:vAlign w:val="center"/>
            <w:tcBorders>
              <w:left w:val="single" w:sz="4" w:color="EEF2F5"/>
              <w:top w:val="single" w:sz="4" w:color="E5EAF0"/>
              <w:right w:val="single" w:sz="4" w:color="EEF2F5"/>
              <w:bottom w:val="single" w:sz="4" w:color="E5EAF0"/>
            </w:tcBorders>
          </w:tcPr>
          <w:p>
            <w:r>
              <w:rPr>
                <w:sz w:val="18"/>
              </w:rPr>
              <w:t>2</w:t>
            </w:r>
          </w:p>
        </w:tc>
        <w:tc>
          <w:tcPr>
            <w:tcW w:type="dxa" w:w="1584"/>
            <w:vAlign w:val="center"/>
            <w:tcBorders>
              <w:left w:val="single" w:sz="4" w:color="EEF2F5"/>
              <w:top w:val="single" w:sz="4" w:color="E5EAF0"/>
              <w:right w:val="single" w:sz="4" w:color="EEF2F5"/>
              <w:bottom w:val="single" w:sz="4" w:color="E5EAF0"/>
            </w:tcBorders>
          </w:tcPr>
          <w:p>
            <w:r>
              <w:rPr>
                <w:sz w:val="18"/>
              </w:rPr>
              <w:t>$11,329.20</w:t>
            </w:r>
          </w:p>
        </w:tc>
        <w:tc>
          <w:tcPr>
            <w:tcW w:type="dxa" w:w="1584"/>
            <w:vAlign w:val="center"/>
            <w:tcBorders>
              <w:left w:val="single" w:sz="4" w:color="EEF2F5"/>
              <w:top w:val="single" w:sz="4" w:color="E5EAF0"/>
              <w:right w:val="single" w:sz="4" w:color="EEF2F5"/>
              <w:bottom w:val="single" w:sz="4" w:color="E5EAF0"/>
            </w:tcBorders>
          </w:tcPr>
          <w:p>
            <w:r>
              <w:rPr>
                <w:sz w:val="18"/>
              </w:rPr>
              <w:t>$404.80</w:t>
            </w:r>
          </w:p>
        </w:tc>
      </w:tr>
    </w:tbl>
    <w:p>
      <w:pPr>
        <w:pStyle w:val="Heading1"/>
      </w:pPr>
      <w:r>
        <w:t>Audit comparison note</w:t>
      </w:r>
    </w:p>
    <w:p>
      <w:r>
        <w:t>The official FY2025 single-audit summary and the Delaware LIVE article describe the same headline totals, but the article uses a more prosecutorial framing while the official state summary is more structured and balanced. This package is separate from that audit: it evaluates State spending patterns and policy fit, not Uniform Guidance compliance alone.</w:t>
      </w:r>
    </w:p>
    <w:p>
      <w:pPr>
        <w:pStyle w:val="Heading1"/>
      </w:pPr>
      <w:r>
        <w:t>OpenAI adoption note</w:t>
      </w:r>
    </w:p>
    <w:p>
      <w:r>
        <w:t>Recurring OpenAI subscription charges by multiple Delaware public bodies undermine any blanket claim that AI-assisted analysis is inherently unserious or categorically unnecessary for public work. What still matters is method, verification, and evidence.</w:t>
      </w:r>
    </w:p>
    <w:p>
      <w:pPr>
        <w:pStyle w:val="Heading1"/>
      </w:pPr>
      <w:r>
        <w:t>What this package does not do</w:t>
      </w:r>
    </w:p>
    <w:p>
      <w:r>
        <w:t>It does not treat every unusual merchant string as wrongdoing. It does not collapse mixed files into a single narrative. It does not turn local-knowledge leads into public accusations without a record-based bridge. The package stays centered on State spending and uses other context only where it helps identify what a payee or merchant actually is.</w:t>
      </w:r>
    </w:p>
    <w:p>
      <w:pPr>
        <w:pStyle w:val="Heading1"/>
      </w:pPr>
      <w:r>
        <w:t>Recommended use</w:t>
      </w:r>
    </w:p>
    <w:p>
      <w:r>
        <w:t>This release is suitable for public-facing circulation as a documentary evidence package. It is also usable as a presentation aid or briefing packet. For formal submission, the strongest path remains to pair the release with the row-level exhibits, exhibit index, and any receipts, approvals, agendas, board minutes, or saved screenshots that corroborate the “needs supporting records” rows.</w:t>
      </w:r>
    </w:p>
    <w:p>
      <w:pPr>
        <w:pStyle w:val="Heading1"/>
      </w:pPr>
      <w:r>
        <w:t>Package contents</w:t>
      </w:r>
    </w:p>
    <w:tbl>
      <w:tblPr>
        <w:tblStyle w:val="TableGrid"/>
        <w:tblW w:type="auto" w:w="0"/>
        <w:jc w:val="center"/>
        <w:tblLook w:firstColumn="1" w:firstRow="1" w:lastColumn="0" w:lastRow="0" w:noHBand="0" w:noVBand="1" w:val="04A0"/>
      </w:tblPr>
      <w:tblGrid>
        <w:gridCol w:w="4968"/>
        <w:gridCol w:w="4968"/>
      </w:tblGrid>
      <w:tr>
        <w:tc>
          <w:tcPr>
            <w:tcW w:type="dxa" w:w="3024"/>
            <w:shd w:fill="EAF2F8"/>
            <w:vAlign w:val="center"/>
            <w:tcBorders>
              <w:left w:val="single" w:sz="8" w:color="D6DEE5"/>
              <w:top w:val="single" w:sz="8" w:color="B8C4CE"/>
              <w:right w:val="single" w:sz="8" w:color="D6DEE5"/>
              <w:bottom w:val="single" w:sz="8" w:color="B8C4CE"/>
            </w:tcBorders>
          </w:tcPr>
          <w:p>
            <w:r>
              <w:rPr>
                <w:b/>
                <w:sz w:val="18"/>
              </w:rPr>
              <w:t>Component</w:t>
            </w:r>
          </w:p>
        </w:tc>
        <w:tc>
          <w:tcPr>
            <w:tcW w:type="dxa" w:w="7056"/>
            <w:shd w:fill="EAF2F8"/>
            <w:vAlign w:val="center"/>
            <w:tcBorders>
              <w:left w:val="single" w:sz="8" w:color="D6DEE5"/>
              <w:top w:val="single" w:sz="8" w:color="B8C4CE"/>
              <w:right w:val="single" w:sz="8" w:color="D6DEE5"/>
              <w:bottom w:val="single" w:sz="8" w:color="B8C4CE"/>
            </w:tcBorders>
          </w:tcPr>
          <w:p>
            <w:r>
              <w:rPr>
                <w:b/>
                <w:sz w:val="18"/>
              </w:rPr>
              <w:t>Description</w:t>
            </w:r>
          </w:p>
        </w:tc>
      </w:tr>
      <w:tr>
        <w:tc>
          <w:tcPr>
            <w:tcW w:type="dxa" w:w="3024"/>
            <w:vAlign w:val="center"/>
            <w:tcBorders>
              <w:left w:val="single" w:sz="4" w:color="EEF2F5"/>
              <w:top w:val="single" w:sz="4" w:color="E5EAF0"/>
              <w:right w:val="single" w:sz="4" w:color="EEF2F5"/>
              <w:bottom w:val="single" w:sz="4" w:color="E5EAF0"/>
            </w:tcBorders>
          </w:tcPr>
          <w:p>
            <w:r>
              <w:rPr>
                <w:sz w:val="18"/>
              </w:rPr>
              <w:t>Main public report</w:t>
            </w:r>
          </w:p>
        </w:tc>
        <w:tc>
          <w:tcPr>
            <w:tcW w:type="dxa" w:w="7056"/>
            <w:vAlign w:val="center"/>
            <w:tcBorders>
              <w:left w:val="single" w:sz="4" w:color="EEF2F5"/>
              <w:top w:val="single" w:sz="4" w:color="E5EAF0"/>
              <w:right w:val="single" w:sz="4" w:color="EEF2F5"/>
              <w:bottom w:val="single" w:sz="4" w:color="E5EAF0"/>
            </w:tcBorders>
          </w:tcPr>
          <w:p>
            <w:r>
              <w:rPr>
                <w:sz w:val="18"/>
              </w:rPr>
              <w:t>This document and its PDF export.</w:t>
            </w:r>
          </w:p>
        </w:tc>
      </w:tr>
      <w:tr>
        <w:tc>
          <w:tcPr>
            <w:tcW w:type="dxa" w:w="3024"/>
            <w:vAlign w:val="center"/>
            <w:tcBorders>
              <w:left w:val="single" w:sz="4" w:color="EEF2F5"/>
              <w:top w:val="single" w:sz="4" w:color="E5EAF0"/>
              <w:right w:val="single" w:sz="4" w:color="EEF2F5"/>
              <w:bottom w:val="single" w:sz="4" w:color="E5EAF0"/>
            </w:tcBorders>
          </w:tcPr>
          <w:p>
            <w:r>
              <w:rPr>
                <w:sz w:val="18"/>
              </w:rPr>
              <w:t>Exhibit index</w:t>
            </w:r>
          </w:p>
        </w:tc>
        <w:tc>
          <w:tcPr>
            <w:tcW w:type="dxa" w:w="7056"/>
            <w:vAlign w:val="center"/>
            <w:tcBorders>
              <w:left w:val="single" w:sz="4" w:color="EEF2F5"/>
              <w:top w:val="single" w:sz="4" w:color="E5EAF0"/>
              <w:right w:val="single" w:sz="4" w:color="EEF2F5"/>
              <w:bottom w:val="single" w:sz="4" w:color="E5EAF0"/>
            </w:tcBorders>
          </w:tcPr>
          <w:p>
            <w:r>
              <w:rPr>
                <w:sz w:val="18"/>
              </w:rPr>
              <w:t>FINAL_PUBLIC_EXHIBIT_INDEX.csv</w:t>
            </w:r>
          </w:p>
        </w:tc>
      </w:tr>
      <w:tr>
        <w:tc>
          <w:tcPr>
            <w:tcW w:type="dxa" w:w="3024"/>
            <w:vAlign w:val="center"/>
            <w:tcBorders>
              <w:left w:val="single" w:sz="4" w:color="EEF2F5"/>
              <w:top w:val="single" w:sz="4" w:color="E5EAF0"/>
              <w:right w:val="single" w:sz="4" w:color="EEF2F5"/>
              <w:bottom w:val="single" w:sz="4" w:color="E5EAF0"/>
            </w:tcBorders>
          </w:tcPr>
          <w:p>
            <w:r>
              <w:rPr>
                <w:sz w:val="18"/>
              </w:rPr>
              <w:t>Top findings</w:t>
            </w:r>
          </w:p>
        </w:tc>
        <w:tc>
          <w:tcPr>
            <w:tcW w:type="dxa" w:w="7056"/>
            <w:vAlign w:val="center"/>
            <w:tcBorders>
              <w:left w:val="single" w:sz="4" w:color="EEF2F5"/>
              <w:top w:val="single" w:sz="4" w:color="E5EAF0"/>
              <w:right w:val="single" w:sz="4" w:color="EEF2F5"/>
              <w:bottom w:val="single" w:sz="4" w:color="E5EAF0"/>
            </w:tcBorders>
          </w:tcPr>
          <w:p>
            <w:r>
              <w:rPr>
                <w:sz w:val="18"/>
              </w:rPr>
              <w:t>FINAL_PUBLIC_TOP_FINDINGS.csv</w:t>
            </w:r>
          </w:p>
        </w:tc>
      </w:tr>
      <w:tr>
        <w:tc>
          <w:tcPr>
            <w:tcW w:type="dxa" w:w="3024"/>
            <w:vAlign w:val="center"/>
            <w:tcBorders>
              <w:left w:val="single" w:sz="4" w:color="EEF2F5"/>
              <w:top w:val="single" w:sz="4" w:color="E5EAF0"/>
              <w:right w:val="single" w:sz="4" w:color="EEF2F5"/>
              <w:bottom w:val="single" w:sz="4" w:color="E5EAF0"/>
            </w:tcBorders>
          </w:tcPr>
          <w:p>
            <w:r>
              <w:rPr>
                <w:sz w:val="18"/>
              </w:rPr>
              <w:t>School travel topic rollup</w:t>
            </w:r>
          </w:p>
        </w:tc>
        <w:tc>
          <w:tcPr>
            <w:tcW w:type="dxa" w:w="7056"/>
            <w:vAlign w:val="center"/>
            <w:tcBorders>
              <w:left w:val="single" w:sz="4" w:color="EEF2F5"/>
              <w:top w:val="single" w:sz="4" w:color="E5EAF0"/>
              <w:right w:val="single" w:sz="4" w:color="EEF2F5"/>
              <w:bottom w:val="single" w:sz="4" w:color="E5EAF0"/>
            </w:tcBorders>
          </w:tcPr>
          <w:p>
            <w:r>
              <w:rPr>
                <w:sz w:val="18"/>
              </w:rPr>
              <w:t>FINAL_PUBLIC_SCHOOL_TRAVEL_TOPICS.csv</w:t>
            </w:r>
          </w:p>
        </w:tc>
      </w:tr>
      <w:tr>
        <w:tc>
          <w:tcPr>
            <w:tcW w:type="dxa" w:w="3024"/>
            <w:vAlign w:val="center"/>
            <w:tcBorders>
              <w:left w:val="single" w:sz="4" w:color="EEF2F5"/>
              <w:top w:val="single" w:sz="4" w:color="E5EAF0"/>
              <w:right w:val="single" w:sz="4" w:color="EEF2F5"/>
              <w:bottom w:val="single" w:sz="4" w:color="E5EAF0"/>
            </w:tcBorders>
          </w:tcPr>
          <w:p>
            <w:r>
              <w:rPr>
                <w:sz w:val="18"/>
              </w:rPr>
              <w:t>Trip-chain screening layer</w:t>
            </w:r>
          </w:p>
        </w:tc>
        <w:tc>
          <w:tcPr>
            <w:tcW w:type="dxa" w:w="7056"/>
            <w:vAlign w:val="center"/>
            <w:tcBorders>
              <w:left w:val="single" w:sz="4" w:color="EEF2F5"/>
              <w:top w:val="single" w:sz="4" w:color="E5EAF0"/>
              <w:right w:val="single" w:sz="4" w:color="EEF2F5"/>
              <w:bottom w:val="single" w:sz="4" w:color="E5EAF0"/>
            </w:tcBorders>
          </w:tcPr>
          <w:p>
            <w:r>
              <w:rPr>
                <w:sz w:val="18"/>
              </w:rPr>
              <w:t>TRIP_CHAIN_candidate_pairs.csv and summaries</w:t>
            </w:r>
          </w:p>
        </w:tc>
      </w:tr>
      <w:tr>
        <w:tc>
          <w:tcPr>
            <w:tcW w:type="dxa" w:w="3024"/>
            <w:vAlign w:val="center"/>
            <w:tcBorders>
              <w:left w:val="single" w:sz="4" w:color="EEF2F5"/>
              <w:top w:val="single" w:sz="4" w:color="E5EAF0"/>
              <w:right w:val="single" w:sz="4" w:color="EEF2F5"/>
              <w:bottom w:val="single" w:sz="4" w:color="E5EAF0"/>
            </w:tcBorders>
          </w:tcPr>
          <w:p>
            <w:r>
              <w:rPr>
                <w:sz w:val="18"/>
              </w:rPr>
              <w:t>School-sector master layer</w:t>
            </w:r>
          </w:p>
        </w:tc>
        <w:tc>
          <w:tcPr>
            <w:tcW w:type="dxa" w:w="7056"/>
            <w:vAlign w:val="center"/>
            <w:tcBorders>
              <w:left w:val="single" w:sz="4" w:color="EEF2F5"/>
              <w:top w:val="single" w:sz="4" w:color="E5EAF0"/>
              <w:right w:val="single" w:sz="4" w:color="EEF2F5"/>
              <w:bottom w:val="single" w:sz="4" w:color="E5EAF0"/>
            </w:tcBorders>
          </w:tcPr>
          <w:p>
            <w:r>
              <w:rPr>
                <w:sz w:val="18"/>
              </w:rPr>
              <w:t>SCHOOL_SECTOR_master_rows.csv and summaries</w:t>
            </w:r>
          </w:p>
        </w:tc>
      </w:tr>
      <w:tr>
        <w:tc>
          <w:tcPr>
            <w:tcW w:type="dxa" w:w="3024"/>
            <w:vAlign w:val="center"/>
            <w:tcBorders>
              <w:left w:val="single" w:sz="4" w:color="EEF2F5"/>
              <w:top w:val="single" w:sz="4" w:color="E5EAF0"/>
              <w:right w:val="single" w:sz="4" w:color="EEF2F5"/>
              <w:bottom w:val="single" w:sz="4" w:color="E5EAF0"/>
            </w:tcBorders>
          </w:tcPr>
          <w:p>
            <w:r>
              <w:rPr>
                <w:sz w:val="18"/>
              </w:rPr>
              <w:t>QC memorandum</w:t>
            </w:r>
          </w:p>
        </w:tc>
        <w:tc>
          <w:tcPr>
            <w:tcW w:type="dxa" w:w="7056"/>
            <w:vAlign w:val="center"/>
            <w:tcBorders>
              <w:left w:val="single" w:sz="4" w:color="EEF2F5"/>
              <w:top w:val="single" w:sz="4" w:color="E5EAF0"/>
              <w:right w:val="single" w:sz="4" w:color="EEF2F5"/>
              <w:bottom w:val="single" w:sz="4" w:color="E5EAF0"/>
            </w:tcBorders>
          </w:tcPr>
          <w:p>
            <w:r>
              <w:rPr>
                <w:sz w:val="18"/>
              </w:rPr>
              <w:t>Delaware_Exhibit_QC_Sweep_v1.pdf</w:t>
            </w:r>
          </w:p>
        </w:tc>
      </w:tr>
      <w:tr>
        <w:tc>
          <w:tcPr>
            <w:tcW w:type="dxa" w:w="3024"/>
            <w:vAlign w:val="center"/>
            <w:tcBorders>
              <w:left w:val="single" w:sz="4" w:color="EEF2F5"/>
              <w:top w:val="single" w:sz="4" w:color="E5EAF0"/>
              <w:right w:val="single" w:sz="4" w:color="EEF2F5"/>
              <w:bottom w:val="single" w:sz="4" w:color="E5EAF0"/>
            </w:tcBorders>
          </w:tcPr>
          <w:p>
            <w:r>
              <w:rPr>
                <w:sz w:val="18"/>
              </w:rPr>
              <w:t>Interim summary archive</w:t>
            </w:r>
          </w:p>
        </w:tc>
        <w:tc>
          <w:tcPr>
            <w:tcW w:type="dxa" w:w="7056"/>
            <w:vAlign w:val="center"/>
            <w:tcBorders>
              <w:left w:val="single" w:sz="4" w:color="EEF2F5"/>
              <w:top w:val="single" w:sz="4" w:color="E5EAF0"/>
              <w:right w:val="single" w:sz="4" w:color="EEF2F5"/>
              <w:bottom w:val="single" w:sz="4" w:color="E5EAF0"/>
            </w:tcBorders>
          </w:tcPr>
          <w:p>
            <w:r>
              <w:rPr>
                <w:sz w:val="18"/>
              </w:rPr>
              <w:t>Delaware_Exhibit_Summary_Interim_v5.pdf</w:t>
            </w:r>
          </w:p>
        </w:tc>
      </w:tr>
    </w:tbl>
    <w:p>
      <w:pPr>
        <w:pStyle w:val="Heading1"/>
      </w:pPr>
      <w:r>
        <w:t>Selected key exhibit files</w:t>
      </w:r>
    </w:p>
    <w:tbl>
      <w:tblPr>
        <w:tblStyle w:val="TableGrid"/>
        <w:tblW w:type="auto" w:w="0"/>
        <w:jc w:val="center"/>
        <w:tblLook w:firstColumn="1" w:firstRow="1" w:lastColumn="0" w:lastRow="0" w:noHBand="0" w:noVBand="1" w:val="04A0"/>
      </w:tblPr>
      <w:tblGrid>
        <w:gridCol w:w="4968"/>
        <w:gridCol w:w="4968"/>
      </w:tblGrid>
      <w:tr>
        <w:tc>
          <w:tcPr>
            <w:tcW w:type="dxa" w:w="3024"/>
            <w:shd w:fill="EAF2F8"/>
            <w:vAlign w:val="center"/>
            <w:tcBorders>
              <w:left w:val="single" w:sz="8" w:color="D6DEE5"/>
              <w:top w:val="single" w:sz="8" w:color="B8C4CE"/>
              <w:right w:val="single" w:sz="8" w:color="D6DEE5"/>
              <w:bottom w:val="single" w:sz="8" w:color="B8C4CE"/>
            </w:tcBorders>
          </w:tcPr>
          <w:p>
            <w:r>
              <w:rPr>
                <w:b/>
                <w:sz w:val="18"/>
              </w:rPr>
              <w:t>Use case</w:t>
            </w:r>
          </w:p>
        </w:tc>
        <w:tc>
          <w:tcPr>
            <w:tcW w:type="dxa" w:w="7056"/>
            <w:shd w:fill="EAF2F8"/>
            <w:vAlign w:val="center"/>
            <w:tcBorders>
              <w:left w:val="single" w:sz="8" w:color="D6DEE5"/>
              <w:top w:val="single" w:sz="8" w:color="B8C4CE"/>
              <w:right w:val="single" w:sz="8" w:color="D6DEE5"/>
              <w:bottom w:val="single" w:sz="8" w:color="B8C4CE"/>
            </w:tcBorders>
          </w:tcPr>
          <w:p>
            <w:r>
              <w:rPr>
                <w:b/>
                <w:sz w:val="18"/>
              </w:rPr>
              <w:t>File</w:t>
            </w:r>
          </w:p>
        </w:tc>
      </w:tr>
      <w:tr>
        <w:tc>
          <w:tcPr>
            <w:tcW w:type="dxa" w:w="3024"/>
            <w:vAlign w:val="center"/>
            <w:tcBorders>
              <w:left w:val="single" w:sz="4" w:color="EEF2F5"/>
              <w:top w:val="single" w:sz="4" w:color="E5EAF0"/>
              <w:right w:val="single" w:sz="4" w:color="EEF2F5"/>
              <w:bottom w:val="single" w:sz="4" w:color="E5EAF0"/>
            </w:tcBorders>
          </w:tcPr>
          <w:p>
            <w:r>
              <w:rPr>
                <w:sz w:val="18"/>
              </w:rPr>
              <w:t>School resort travel</w:t>
            </w:r>
          </w:p>
        </w:tc>
        <w:tc>
          <w:tcPr>
            <w:tcW w:type="dxa" w:w="7056"/>
            <w:vAlign w:val="center"/>
            <w:tcBorders>
              <w:left w:val="single" w:sz="4" w:color="EEF2F5"/>
              <w:top w:val="single" w:sz="4" w:color="E5EAF0"/>
              <w:right w:val="single" w:sz="4" w:color="EEF2F5"/>
              <w:bottom w:val="single" w:sz="4" w:color="E5EAF0"/>
            </w:tcBorders>
          </w:tcPr>
          <w:p>
            <w:r>
              <w:rPr>
                <w:sz w:val="18"/>
              </w:rPr>
              <w:t>RESORTS_exhibit_strong_contradiction_rows.csv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School-sector consolidation</w:t>
            </w:r>
          </w:p>
        </w:tc>
        <w:tc>
          <w:tcPr>
            <w:tcW w:type="dxa" w:w="7056"/>
            <w:vAlign w:val="center"/>
            <w:tcBorders>
              <w:left w:val="single" w:sz="4" w:color="EEF2F5"/>
              <w:top w:val="single" w:sz="4" w:color="E5EAF0"/>
              <w:right w:val="single" w:sz="4" w:color="EEF2F5"/>
              <w:bottom w:val="single" w:sz="4" w:color="E5EAF0"/>
            </w:tcBorders>
          </w:tcPr>
          <w:p>
            <w:r>
              <w:rPr>
                <w:sz w:val="18"/>
              </w:rPr>
              <w:t>SCHOOL_SECTOR_master_rows.csv</w:t>
            </w:r>
          </w:p>
        </w:tc>
      </w:tr>
      <w:tr>
        <w:tc>
          <w:tcPr>
            <w:tcW w:type="dxa" w:w="3024"/>
            <w:vAlign w:val="center"/>
            <w:tcBorders>
              <w:left w:val="single" w:sz="4" w:color="EEF2F5"/>
              <w:top w:val="single" w:sz="4" w:color="E5EAF0"/>
              <w:right w:val="single" w:sz="4" w:color="EEF2F5"/>
              <w:bottom w:val="single" w:sz="4" w:color="E5EAF0"/>
            </w:tcBorders>
          </w:tcPr>
          <w:p>
            <w:r>
              <w:rPr>
                <w:sz w:val="18"/>
              </w:rPr>
              <w:t>Airline high-risk rows</w:t>
            </w:r>
          </w:p>
        </w:tc>
        <w:tc>
          <w:tcPr>
            <w:tcW w:type="dxa" w:w="7056"/>
            <w:vAlign w:val="center"/>
            <w:tcBorders>
              <w:left w:val="single" w:sz="4" w:color="EEF2F5"/>
              <w:top w:val="single" w:sz="4" w:color="E5EAF0"/>
              <w:right w:val="single" w:sz="4" w:color="EEF2F5"/>
              <w:bottom w:val="single" w:sz="4" w:color="E5EAF0"/>
            </w:tcBorders>
          </w:tcPr>
          <w:p>
            <w:r>
              <w:rPr>
                <w:sz w:val="18"/>
              </w:rPr>
              <w:t>AIRLINE_exhibit_strong_contradiction_rows.csv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Lodging high-risk rows</w:t>
            </w:r>
          </w:p>
        </w:tc>
        <w:tc>
          <w:tcPr>
            <w:tcW w:type="dxa" w:w="7056"/>
            <w:vAlign w:val="center"/>
            <w:tcBorders>
              <w:left w:val="single" w:sz="4" w:color="EEF2F5"/>
              <w:top w:val="single" w:sz="4" w:color="E5EAF0"/>
              <w:right w:val="single" w:sz="4" w:color="EEF2F5"/>
              <w:bottom w:val="single" w:sz="4" w:color="E5EAF0"/>
            </w:tcBorders>
          </w:tcPr>
          <w:p>
            <w:r>
              <w:rPr>
                <w:sz w:val="18"/>
              </w:rPr>
              <w:t>LODGING_exhibit_strong_contradiction_rows.csv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Limousine rows</w:t>
            </w:r>
          </w:p>
        </w:tc>
        <w:tc>
          <w:tcPr>
            <w:tcW w:type="dxa" w:w="7056"/>
            <w:vAlign w:val="center"/>
            <w:tcBorders>
              <w:left w:val="single" w:sz="4" w:color="EEF2F5"/>
              <w:top w:val="single" w:sz="4" w:color="E5EAF0"/>
              <w:right w:val="single" w:sz="4" w:color="EEF2F5"/>
              <w:bottom w:val="single" w:sz="4" w:color="E5EAF0"/>
            </w:tcBorders>
          </w:tcPr>
          <w:p>
            <w:r>
              <w:rPr>
                <w:sz w:val="18"/>
              </w:rPr>
              <w:t>LIMO_exhibit_strong_contradiction_rows.csv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Gift rows</w:t>
            </w:r>
          </w:p>
        </w:tc>
        <w:tc>
          <w:tcPr>
            <w:tcW w:type="dxa" w:w="7056"/>
            <w:vAlign w:val="center"/>
            <w:tcBorders>
              <w:left w:val="single" w:sz="4" w:color="EEF2F5"/>
              <w:top w:val="single" w:sz="4" w:color="E5EAF0"/>
              <w:right w:val="single" w:sz="4" w:color="EEF2F5"/>
              <w:bottom w:val="single" w:sz="4" w:color="E5EAF0"/>
            </w:tcBorders>
          </w:tcPr>
          <w:p>
            <w:r>
              <w:rPr>
                <w:sz w:val="18"/>
              </w:rPr>
              <w:t>GIFT_exhibit_strong_contradiction_rows.csv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Beer / alcohol venues</w:t>
            </w:r>
          </w:p>
        </w:tc>
        <w:tc>
          <w:tcPr>
            <w:tcW w:type="dxa" w:w="7056"/>
            <w:vAlign w:val="center"/>
            <w:tcBorders>
              <w:left w:val="single" w:sz="4" w:color="EEF2F5"/>
              <w:top w:val="single" w:sz="4" w:color="E5EAF0"/>
              <w:right w:val="single" w:sz="4" w:color="EEF2F5"/>
              <w:bottom w:val="single" w:sz="4" w:color="E5EAF0"/>
            </w:tcBorders>
          </w:tcPr>
          <w:p>
            <w:r>
              <w:rPr>
                <w:sz w:val="18"/>
              </w:rPr>
              <w:t>BEER_exhibit_strong_contradiction_rows.csv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Lounge / entertainment venues</w:t>
            </w:r>
          </w:p>
        </w:tc>
        <w:tc>
          <w:tcPr>
            <w:tcW w:type="dxa" w:w="7056"/>
            <w:vAlign w:val="center"/>
            <w:tcBorders>
              <w:left w:val="single" w:sz="4" w:color="EEF2F5"/>
              <w:top w:val="single" w:sz="4" w:color="E5EAF0"/>
              <w:right w:val="single" w:sz="4" w:color="EEF2F5"/>
              <w:bottom w:val="single" w:sz="4" w:color="E5EAF0"/>
            </w:tcBorders>
          </w:tcPr>
          <w:p>
            <w:r>
              <w:rPr>
                <w:sz w:val="18"/>
              </w:rPr>
              <w:t>LOUNGE_exhibit_strong_contradiction_rows.csv</w:t>
            </w:r>
          </w:p>
        </w:tc>
      </w:tr>
      <w:tr>
        <w:tc>
          <w:tcPr>
            <w:tcW w:type="dxa" w:w="3024"/>
            <w:vAlign w:val="center"/>
            <w:tcBorders>
              <w:left w:val="single" w:sz="4" w:color="EEF2F5"/>
              <w:top w:val="single" w:sz="4" w:color="E5EAF0"/>
              <w:right w:val="single" w:sz="4" w:color="EEF2F5"/>
              <w:bottom w:val="single" w:sz="4" w:color="E5EAF0"/>
            </w:tcBorders>
          </w:tcPr>
          <w:p>
            <w:r>
              <w:rPr>
                <w:sz w:val="18"/>
              </w:rPr>
              <w:t>Fines / violations</w:t>
            </w:r>
          </w:p>
        </w:tc>
        <w:tc>
          <w:tcPr>
            <w:tcW w:type="dxa" w:w="7056"/>
            <w:vAlign w:val="center"/>
            <w:tcBorders>
              <w:left w:val="single" w:sz="4" w:color="EEF2F5"/>
              <w:top w:val="single" w:sz="4" w:color="E5EAF0"/>
              <w:right w:val="single" w:sz="4" w:color="EEF2F5"/>
              <w:bottom w:val="single" w:sz="4" w:color="E5EAF0"/>
            </w:tcBorders>
          </w:tcPr>
          <w:p>
            <w:r>
              <w:rPr>
                <w:sz w:val="18"/>
              </w:rPr>
              <w:t>FINES_exhibit_suspicious_rows.csv</w:t>
            </w:r>
          </w:p>
        </w:tc>
      </w:tr>
      <w:tr>
        <w:tc>
          <w:tcPr>
            <w:tcW w:type="dxa" w:w="3024"/>
            <w:vAlign w:val="center"/>
            <w:tcBorders>
              <w:left w:val="single" w:sz="4" w:color="EEF2F5"/>
              <w:top w:val="single" w:sz="4" w:color="E5EAF0"/>
              <w:right w:val="single" w:sz="4" w:color="EEF2F5"/>
              <w:bottom w:val="single" w:sz="4" w:color="E5EAF0"/>
            </w:tcBorders>
          </w:tcPr>
          <w:p>
            <w:r>
              <w:rPr>
                <w:sz w:val="18"/>
              </w:rPr>
              <w:t>OpenAI agency adoption</w:t>
            </w:r>
          </w:p>
        </w:tc>
        <w:tc>
          <w:tcPr>
            <w:tcW w:type="dxa" w:w="7056"/>
            <w:vAlign w:val="center"/>
            <w:tcBorders>
              <w:left w:val="single" w:sz="4" w:color="EEF2F5"/>
              <w:top w:val="single" w:sz="4" w:color="E5EAF0"/>
              <w:right w:val="single" w:sz="4" w:color="EEF2F5"/>
              <w:bottom w:val="single" w:sz="4" w:color="E5EAF0"/>
            </w:tcBorders>
          </w:tcPr>
          <w:p>
            <w:r>
              <w:rPr>
                <w:sz w:val="18"/>
              </w:rPr>
              <w:t>OPENAI_exhibit_summary_by_agency.csv</w:t>
            </w:r>
          </w:p>
        </w:tc>
      </w:tr>
    </w:tbl>
    <w:p>
      <w:pPr>
        <w:jc w:val="center"/>
      </w:pPr>
      <w:r>
        <w:rPr>
          <w:i/>
          <w:sz w:val="18"/>
        </w:rPr>
        <w:t>Public release package • version 1</w:t>
      </w:r>
    </w:p>
    <w:sectPr w:rsidR="00FC693F" w:rsidRPr="0006063C" w:rsidSect="00034616">
      <w:pgSz w:w="12240" w:h="15840"/>
      <w:pgMar w:top="1080"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54666"/>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54666"/>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345475"/>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