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40"/>
        </w:rPr>
        <w:t>Delaware Exhibit Package</w:t>
        <w:br/>
        <w:t>Quality-Control Sweep</w:t>
      </w:r>
    </w:p>
    <w:p>
      <w:pPr>
        <w:jc w:val="center"/>
      </w:pPr>
      <w:r>
        <w:rPr>
          <w:i/>
          <w:sz w:val="20"/>
        </w:rPr>
        <w:t>QC memo for interim package v5 artifacts</w:t>
      </w:r>
    </w:p>
    <w:p>
      <w:r>
        <w:t>This sweep checks the current exhibit package for internal consistency before wider sharing. It focuses on artifact presence, naming consistency, row-level bucket separation, topic coverage, and package-level inventory rather than re-litigating the underlying policy analysis.</w:t>
      </w:r>
    </w:p>
    <w:p>
      <w:pPr>
        <w:pStyle w:val="ListBullet"/>
      </w:pPr>
      <w:r>
        <w:t>Topics covered: 91</w:t>
      </w:r>
    </w:p>
    <w:p>
      <w:pPr>
        <w:pStyle w:val="ListBullet"/>
      </w:pPr>
      <w:r>
        <w:t>Exhibit CSV files: 278 (184 row-level, 94 summaries)</w:t>
      </w:r>
    </w:p>
    <w:p>
      <w:pPr>
        <w:pStyle w:val="ListBullet"/>
      </w:pPr>
      <w:r>
        <w:t>Row-level exhibit rows across package: 927,821</w:t>
      </w:r>
    </w:p>
    <w:p>
      <w:pPr>
        <w:pStyle w:val="ListBullet"/>
      </w:pPr>
      <w:r>
        <w:t>Master-layer files present: 6 of 13</w:t>
      </w:r>
    </w:p>
    <w:p>
      <w:pPr>
        <w:pStyle w:val="ListBullet"/>
      </w:pPr>
      <w:r>
        <w:t>Comparison-only source topics retained intentionally: 1</w:t>
      </w:r>
    </w:p>
    <w:p>
      <w:pPr>
        <w:pStyle w:val="Heading1"/>
      </w:pPr>
      <w:r>
        <w:rPr>
          <w:b/>
        </w:rPr>
        <w:t>QC results</w:t>
      </w:r>
    </w:p>
    <w:p>
      <w:r>
        <w:t>What was corrected or clarified during the sweep:</w:t>
      </w:r>
    </w:p>
    <w:p>
      <w:pPr>
        <w:pStyle w:val="ListBullet2"/>
      </w:pPr>
      <w:r>
        <w:t>Created missing exhibit packets for DIEGOS, RITZ, ST_THOMAS, and TIK so those source files are now represented in the package.</w:t>
      </w:r>
    </w:p>
    <w:p>
      <w:pPr>
        <w:pStyle w:val="ListBullet2"/>
      </w:pPr>
      <w:r>
        <w:t>Detected overlapping rows between RUDDER strong-followup and needs-supporting buckets; produced corrected v2 files and marked the original needs-supporting and summary files as superseded.</w:t>
      </w:r>
    </w:p>
    <w:p>
      <w:pPr>
        <w:pStyle w:val="ListBullet2"/>
      </w:pPr>
      <w:r>
        <w:t>Confirmed one intentionally empty bucket: INTEGRITY strong-contradiction rows.</w:t>
      </w:r>
    </w:p>
    <w:p>
      <w:pPr>
        <w:pStyle w:val="ListBullet2"/>
      </w:pPr>
      <w:r>
        <w:t>Confirmed FACE remains a comparison-only methodology source rather than a policy exhibit topic.</w:t>
      </w:r>
    </w:p>
    <w:p>
      <w:pPr>
        <w:pStyle w:val="Heading2"/>
      </w:pPr>
      <w:r>
        <w:rPr>
          <w:b/>
        </w:rPr>
        <w:t>Package bucket profile</w:t>
      </w:r>
    </w:p>
    <w:p>
      <w:r>
        <w:t>This table standardizes the row-level files into four broad groups for QC purposes.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484"/>
        <w:gridCol w:w="2484"/>
        <w:gridCol w:w="2484"/>
        <w:gridCol w:w="2484"/>
      </w:tblGrid>
      <w:tr>
        <w:tc>
          <w:tcPr>
            <w:tcW w:type="dxa" w:w="2484"/>
            <w:shd w:fill="D9EAF7"/>
          </w:tcPr>
          <w:p>
            <w:r>
              <w:rPr>
                <w:b/>
                <w:sz w:val="18"/>
              </w:rPr>
              <w:t>Bucket group</w:t>
            </w:r>
          </w:p>
        </w:tc>
        <w:tc>
          <w:tcPr>
            <w:tcW w:type="dxa" w:w="2484"/>
            <w:shd w:fill="D9EAF7"/>
          </w:tcPr>
          <w:p>
            <w:r>
              <w:rPr>
                <w:b/>
                <w:sz w:val="18"/>
              </w:rPr>
              <w:t>Files</w:t>
            </w:r>
          </w:p>
        </w:tc>
        <w:tc>
          <w:tcPr>
            <w:tcW w:type="dxa" w:w="2484"/>
            <w:shd w:fill="D9EAF7"/>
          </w:tcPr>
          <w:p>
            <w:r>
              <w:rPr>
                <w:b/>
                <w:sz w:val="18"/>
              </w:rPr>
              <w:t>Rows</w:t>
            </w:r>
          </w:p>
        </w:tc>
        <w:tc>
          <w:tcPr>
            <w:tcW w:type="dxa" w:w="2484"/>
            <w:shd w:fill="D9EAF7"/>
          </w:tcPr>
          <w:p>
            <w:r>
              <w:rPr>
                <w:b/>
                <w:sz w:val="18"/>
              </w:rPr>
              <w:t>Amount total</w:t>
            </w:r>
          </w:p>
        </w:tc>
      </w:tr>
      <w:tr>
        <w:tc>
          <w:tcPr>
            <w:tcW w:type="dxa" w:w="2484"/>
          </w:tcPr>
          <w:p>
            <w:r>
              <w:t>likely ordinary operational or context</w:t>
            </w:r>
          </w:p>
        </w:tc>
        <w:tc>
          <w:tcPr>
            <w:tcW w:type="dxa" w:w="2484"/>
          </w:tcPr>
          <w:p>
            <w:r>
              <w:t>38</w:t>
            </w:r>
          </w:p>
        </w:tc>
        <w:tc>
          <w:tcPr>
            <w:tcW w:type="dxa" w:w="2484"/>
          </w:tcPr>
          <w:p>
            <w:r>
              <w:t>494,275</w:t>
            </w:r>
          </w:p>
        </w:tc>
        <w:tc>
          <w:tcPr>
            <w:tcW w:type="dxa" w:w="2484"/>
          </w:tcPr>
          <w:p>
            <w:r>
              <w:t>$4,436,579,881.67</w:t>
            </w:r>
          </w:p>
        </w:tc>
      </w:tr>
      <w:tr>
        <w:tc>
          <w:tcPr>
            <w:tcW w:type="dxa" w:w="2484"/>
          </w:tcPr>
          <w:p>
            <w:r>
              <w:t>needs supporting records or context</w:t>
            </w:r>
          </w:p>
        </w:tc>
        <w:tc>
          <w:tcPr>
            <w:tcW w:type="dxa" w:w="2484"/>
          </w:tcPr>
          <w:p>
            <w:r>
              <w:t>77</w:t>
            </w:r>
          </w:p>
        </w:tc>
        <w:tc>
          <w:tcPr>
            <w:tcW w:type="dxa" w:w="2484"/>
          </w:tcPr>
          <w:p>
            <w:r>
              <w:t>392,719</w:t>
            </w:r>
          </w:p>
        </w:tc>
        <w:tc>
          <w:tcPr>
            <w:tcW w:type="dxa" w:w="2484"/>
          </w:tcPr>
          <w:p>
            <w:r>
              <w:t>$683,957,322.64</w:t>
            </w:r>
          </w:p>
        </w:tc>
      </w:tr>
      <w:tr>
        <w:tc>
          <w:tcPr>
            <w:tcW w:type="dxa" w:w="2484"/>
          </w:tcPr>
          <w:p>
            <w:r>
              <w:t>high risk or key followup</w:t>
            </w:r>
          </w:p>
        </w:tc>
        <w:tc>
          <w:tcPr>
            <w:tcW w:type="dxa" w:w="2484"/>
          </w:tcPr>
          <w:p>
            <w:r>
              <w:t>57</w:t>
            </w:r>
          </w:p>
        </w:tc>
        <w:tc>
          <w:tcPr>
            <w:tcW w:type="dxa" w:w="2484"/>
          </w:tcPr>
          <w:p>
            <w:r>
              <w:t>31,541</w:t>
            </w:r>
          </w:p>
        </w:tc>
        <w:tc>
          <w:tcPr>
            <w:tcW w:type="dxa" w:w="2484"/>
          </w:tcPr>
          <w:p>
            <w:r>
              <w:t>$13,827,913.66</w:t>
            </w:r>
          </w:p>
        </w:tc>
      </w:tr>
      <w:tr>
        <w:tc>
          <w:tcPr>
            <w:tcW w:type="dxa" w:w="2484"/>
          </w:tcPr>
          <w:p>
            <w:r>
              <w:t>other</w:t>
            </w:r>
          </w:p>
        </w:tc>
        <w:tc>
          <w:tcPr>
            <w:tcW w:type="dxa" w:w="2484"/>
          </w:tcPr>
          <w:p>
            <w:r>
              <w:t>3</w:t>
            </w:r>
          </w:p>
        </w:tc>
        <w:tc>
          <w:tcPr>
            <w:tcW w:type="dxa" w:w="2484"/>
          </w:tcPr>
          <w:p>
            <w:r>
              <w:t>610</w:t>
            </w:r>
          </w:p>
        </w:tc>
        <w:tc>
          <w:tcPr>
            <w:tcW w:type="dxa" w:w="2484"/>
          </w:tcPr>
          <w:p>
            <w:r>
              <w:t>$171,862.41</w:t>
            </w:r>
          </w:p>
        </w:tc>
      </w:tr>
      <w:tr>
        <w:tc>
          <w:tcPr>
            <w:tcW w:type="dxa" w:w="2484"/>
          </w:tcPr>
          <w:p>
            <w:r>
              <w:t>false match excluded or noise</w:t>
            </w:r>
          </w:p>
        </w:tc>
        <w:tc>
          <w:tcPr>
            <w:tcW w:type="dxa" w:w="2484"/>
          </w:tcPr>
          <w:p>
            <w:r>
              <w:t>5</w:t>
            </w:r>
          </w:p>
        </w:tc>
        <w:tc>
          <w:tcPr>
            <w:tcW w:type="dxa" w:w="2484"/>
          </w:tcPr>
          <w:p>
            <w:r>
              <w:t>79</w:t>
            </w:r>
          </w:p>
        </w:tc>
        <w:tc>
          <w:tcPr>
            <w:tcW w:type="dxa" w:w="2484"/>
          </w:tcPr>
          <w:p>
            <w:r>
              <w:t>$28,366.84</w:t>
            </w:r>
          </w:p>
        </w:tc>
      </w:tr>
    </w:tbl>
    <w:p>
      <w:pPr>
        <w:pStyle w:val="Heading2"/>
      </w:pPr>
      <w:r>
        <w:rPr>
          <w:b/>
        </w:rPr>
        <w:t>Issues and cautions</w:t>
      </w:r>
    </w:p>
    <w:p>
      <w:r>
        <w:t>Only a small number of package-level issues remain. The most important one is that some previously referenced master-layer crosswalk files are still pending regeneration.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87"/>
        <w:gridCol w:w="1987"/>
        <w:gridCol w:w="1987"/>
        <w:gridCol w:w="1987"/>
        <w:gridCol w:w="1987"/>
      </w:tblGrid>
      <w:tr>
        <w:tc>
          <w:tcPr>
            <w:tcW w:type="dxa" w:w="1987"/>
            <w:shd w:fill="FCE4D6"/>
          </w:tcPr>
          <w:p>
            <w:r>
              <w:rPr>
                <w:b/>
                <w:sz w:val="18"/>
              </w:rPr>
              <w:t>Severity</w:t>
            </w:r>
          </w:p>
        </w:tc>
        <w:tc>
          <w:tcPr>
            <w:tcW w:type="dxa" w:w="1987"/>
            <w:shd w:fill="FCE4D6"/>
          </w:tcPr>
          <w:p>
            <w:r>
              <w:rPr>
                <w:b/>
                <w:sz w:val="18"/>
              </w:rPr>
              <w:t>Issue type</w:t>
            </w:r>
          </w:p>
        </w:tc>
        <w:tc>
          <w:tcPr>
            <w:tcW w:type="dxa" w:w="1987"/>
            <w:shd w:fill="FCE4D6"/>
          </w:tcPr>
          <w:p>
            <w:r>
              <w:rPr>
                <w:b/>
                <w:sz w:val="18"/>
              </w:rPr>
              <w:t>Topic</w:t>
            </w:r>
          </w:p>
        </w:tc>
        <w:tc>
          <w:tcPr>
            <w:tcW w:type="dxa" w:w="1987"/>
            <w:shd w:fill="FCE4D6"/>
          </w:tcPr>
          <w:p>
            <w:r>
              <w:rPr>
                <w:b/>
                <w:sz w:val="18"/>
              </w:rPr>
              <w:t>Detail</w:t>
            </w:r>
          </w:p>
        </w:tc>
        <w:tc>
          <w:tcPr>
            <w:tcW w:type="dxa" w:w="1987"/>
            <w:shd w:fill="FCE4D6"/>
          </w:tcPr>
          <w:p>
            <w:r>
              <w:rPr>
                <w:b/>
                <w:sz w:val="18"/>
              </w:rPr>
              <w:t>Status</w:t>
            </w:r>
          </w:p>
        </w:tc>
      </w:tr>
      <w:tr>
        <w:tc>
          <w:tcPr>
            <w:tcW w:type="dxa" w:w="1987"/>
          </w:tcPr>
          <w:p>
            <w:r>
              <w:t>note</w:t>
            </w:r>
          </w:p>
        </w:tc>
        <w:tc>
          <w:tcPr>
            <w:tcW w:type="dxa" w:w="1987"/>
          </w:tcPr>
          <w:p>
            <w:r>
              <w:t>empty_row_level_file</w:t>
            </w:r>
          </w:p>
        </w:tc>
        <w:tc>
          <w:tcPr>
            <w:tcW w:type="dxa" w:w="1987"/>
          </w:tcPr>
          <w:p>
            <w:r>
              <w:t>INTEGRITY</w:t>
            </w:r>
          </w:p>
        </w:tc>
        <w:tc>
          <w:tcPr>
            <w:tcW w:type="dxa" w:w="1987"/>
          </w:tcPr>
          <w:p>
            <w:r>
              <w:t>INTEGRITY_exhibit_strong_contradiction_rows.csv</w:t>
            </w:r>
          </w:p>
        </w:tc>
        <w:tc>
          <w:tcPr>
            <w:tcW w:type="dxa" w:w="1987"/>
          </w:tcPr>
          <w:p>
            <w:r>
              <w:t>intentional_zero_bucket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superseded_file_present</w:t>
            </w:r>
          </w:p>
        </w:tc>
        <w:tc>
          <w:tcPr>
            <w:tcW w:type="dxa" w:w="1987"/>
          </w:tcPr>
          <w:p>
            <w:r>
              <w:t>RUDDER</w:t>
            </w:r>
          </w:p>
        </w:tc>
        <w:tc>
          <w:tcPr>
            <w:tcW w:type="dxa" w:w="1987"/>
          </w:tcPr>
          <w:p>
            <w:r>
              <w:t>RUDDER_exhibit_needs_supporting_records_rows.csv</w:t>
            </w:r>
          </w:p>
        </w:tc>
        <w:tc>
          <w:tcPr>
            <w:tcW w:type="dxa" w:w="1987"/>
          </w:tcPr>
          <w:p>
            <w:r>
              <w:t>use_v2_version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superseded_file_present</w:t>
            </w:r>
          </w:p>
        </w:tc>
        <w:tc>
          <w:tcPr>
            <w:tcW w:type="dxa" w:w="1987"/>
          </w:tcPr>
          <w:p>
            <w:r>
              <w:t>RUDDER</w:t>
            </w:r>
          </w:p>
        </w:tc>
        <w:tc>
          <w:tcPr>
            <w:tcW w:type="dxa" w:w="1987"/>
          </w:tcPr>
          <w:p>
            <w:r>
              <w:t>RUDDER_exhibit_summary_by_vendor.csv</w:t>
            </w:r>
          </w:p>
        </w:tc>
        <w:tc>
          <w:tcPr>
            <w:tcW w:type="dxa" w:w="1987"/>
          </w:tcPr>
          <w:p>
            <w:r>
              <w:t>use_v2_version</w:t>
            </w:r>
          </w:p>
        </w:tc>
      </w:tr>
      <w:tr>
        <w:tc>
          <w:tcPr>
            <w:tcW w:type="dxa" w:w="1987"/>
          </w:tcPr>
          <w:p>
            <w:r>
              <w:t>note</w:t>
            </w:r>
          </w:p>
        </w:tc>
        <w:tc>
          <w:tcPr>
            <w:tcW w:type="dxa" w:w="1987"/>
          </w:tcPr>
          <w:p>
            <w:r>
              <w:t>summary_schema_variation</w:t>
            </w:r>
          </w:p>
        </w:tc>
        <w:tc>
          <w:tcPr>
            <w:tcW w:type="dxa" w:w="1987"/>
          </w:tcPr>
          <w:p>
            <w:r>
              <w:t>ALL</w:t>
            </w:r>
          </w:p>
        </w:tc>
        <w:tc>
          <w:tcPr>
            <w:tcW w:type="dxa" w:w="1987"/>
          </w:tcPr>
          <w:p>
            <w:r>
              <w:t>Summary CSV schemas vary across batches; QC inventory standardizes row counts and amount totals for package-level review.</w:t>
            </w:r>
          </w:p>
        </w:tc>
        <w:tc>
          <w:tcPr>
            <w:tcW w:type="dxa" w:w="1987"/>
          </w:tcPr>
          <w:p>
            <w:r>
              <w:t>documented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CHECKBOOK_2024_awarded_vendor_crosswalk_exact.csv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CHECKBOOK_2026_awarded_vendor_crosswalk_exact.csv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CHECKBOOK_2024_awarded_vendor_crosswalk_summary.csv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CHECKBOOK_2026_awarded_vendor_crosswalk_summary.csv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CHECKBOOK_2026_top_unmatched_vendors_by_amount.csv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CHECKBOOK_2026_top_unmatched_vendors_by_rows.csv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warning</w:t>
            </w:r>
          </w:p>
        </w:tc>
        <w:tc>
          <w:tcPr>
            <w:tcW w:type="dxa" w:w="1987"/>
          </w:tcPr>
          <w:p>
            <w:r>
              <w:t>missing_master_layer_file</w:t>
            </w:r>
          </w:p>
        </w:tc>
        <w:tc>
          <w:tcPr>
            <w:tcW w:type="dxa" w:w="1987"/>
          </w:tcPr>
          <w:p>
            <w:r>
              <w:t>MASTER_LAYER</w:t>
            </w:r>
          </w:p>
        </w:tc>
        <w:tc>
          <w:tcPr>
            <w:tcW w:type="dxa" w:w="1987"/>
          </w:tcPr>
          <w:p>
            <w:r>
              <w:t>CHECKBOOK_2026_top_matched_vendors_by_amount.csv</w:t>
            </w:r>
          </w:p>
        </w:tc>
        <w:tc>
          <w:tcPr>
            <w:tcW w:type="dxa" w:w="1987"/>
          </w:tcPr>
          <w:p>
            <w:r>
              <w:t>pending_regeneration</w:t>
            </w:r>
          </w:p>
        </w:tc>
      </w:tr>
      <w:tr>
        <w:tc>
          <w:tcPr>
            <w:tcW w:type="dxa" w:w="1987"/>
          </w:tcPr>
          <w:p>
            <w:r>
              <w:t>note</w:t>
            </w:r>
          </w:p>
        </w:tc>
        <w:tc>
          <w:tcPr>
            <w:tcW w:type="dxa" w:w="1987"/>
          </w:tcPr>
          <w:p>
            <w:r>
              <w:t>source_not_converted_to_policy_exhibit</w:t>
            </w:r>
          </w:p>
        </w:tc>
        <w:tc>
          <w:tcPr>
            <w:tcW w:type="dxa" w:w="1987"/>
          </w:tcPr>
          <w:p>
            <w:r>
              <w:t>FACE</w:t>
            </w:r>
          </w:p>
        </w:tc>
        <w:tc>
          <w:tcPr>
            <w:tcW w:type="dxa" w:w="1987"/>
          </w:tcPr>
          <w:p>
            <w:r>
              <w:t>Retained as methodology/search-behavior comparison source rather than policy exhibit.</w:t>
            </w:r>
          </w:p>
        </w:tc>
        <w:tc>
          <w:tcPr>
            <w:tcW w:type="dxa" w:w="1987"/>
          </w:tcPr>
          <w:p>
            <w:r>
              <w:t>intentional</w:t>
            </w:r>
          </w:p>
        </w:tc>
      </w:tr>
    </w:tbl>
    <w:p>
      <w:pPr>
        <w:pStyle w:val="Heading2"/>
      </w:pPr>
      <w:r>
        <w:rPr>
          <w:b/>
        </w:rPr>
        <w:t>Topic alias and source-map notes</w:t>
      </w:r>
    </w:p>
    <w:p>
      <w:r>
        <w:t>Most source topics now map directly to an exhibit topic or an intentional alias. The remaining comparison-only source is FACE, which was retained to document search-behavior differences rather than policy content.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312"/>
        <w:gridCol w:w="3312"/>
        <w:gridCol w:w="3312"/>
      </w:tblGrid>
      <w:tr>
        <w:tc>
          <w:tcPr>
            <w:tcW w:type="dxa" w:w="3312"/>
            <w:shd w:fill="E2F0D9"/>
          </w:tcPr>
          <w:p>
            <w:r>
              <w:rPr>
                <w:b/>
                <w:sz w:val="18"/>
              </w:rPr>
              <w:t>Source topic</w:t>
            </w:r>
          </w:p>
        </w:tc>
        <w:tc>
          <w:tcPr>
            <w:tcW w:type="dxa" w:w="3312"/>
            <w:shd w:fill="E2F0D9"/>
          </w:tcPr>
          <w:p>
            <w:r>
              <w:rPr>
                <w:b/>
                <w:sz w:val="18"/>
              </w:rPr>
              <w:t>Exhibit topic</w:t>
            </w:r>
          </w:p>
        </w:tc>
        <w:tc>
          <w:tcPr>
            <w:tcW w:type="dxa" w:w="3312"/>
            <w:shd w:fill="E2F0D9"/>
          </w:tcPr>
          <w:p>
            <w:r>
              <w:rPr>
                <w:b/>
                <w:sz w:val="18"/>
              </w:rPr>
              <w:t>Status</w:t>
            </w:r>
          </w:p>
        </w:tc>
      </w:tr>
      <w:tr>
        <w:tc>
          <w:tcPr>
            <w:tcW w:type="dxa" w:w="3312"/>
          </w:tcPr>
          <w:p>
            <w:r>
              <w:t>300-RESULTS</w:t>
            </w:r>
          </w:p>
        </w:tc>
        <w:tc>
          <w:tcPr>
            <w:tcW w:type="dxa" w:w="3312"/>
          </w:tcPr>
          <w:p>
            <w:r>
              <w:t>300_RESULTS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500-DOLLARS</w:t>
            </w:r>
          </w:p>
        </w:tc>
        <w:tc>
          <w:tcPr>
            <w:tcW w:type="dxa" w:w="3312"/>
          </w:tcPr>
          <w:p>
            <w:r>
              <w:t>500_DOLLARS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ROAD-FEES-AND-TOLLS</w:t>
            </w:r>
          </w:p>
        </w:tc>
        <w:tc>
          <w:tcPr>
            <w:tcW w:type="dxa" w:w="3312"/>
          </w:tcPr>
          <w:p>
            <w:r>
              <w:t>ROAD_FEES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SBI-INDIA</w:t>
            </w:r>
          </w:p>
        </w:tc>
        <w:tc>
          <w:tcPr>
            <w:tcW w:type="dxa" w:w="3312"/>
          </w:tcPr>
          <w:p>
            <w:r>
              <w:t>SBI_INDIA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ST-THOMAS</w:t>
            </w:r>
          </w:p>
        </w:tc>
        <w:tc>
          <w:tcPr>
            <w:tcW w:type="dxa" w:w="3312"/>
          </w:tcPr>
          <w:p>
            <w:r>
              <w:t>ST_THOMAS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SUSAN-S-BUNTING-ED</w:t>
            </w:r>
          </w:p>
        </w:tc>
        <w:tc>
          <w:tcPr>
            <w:tcW w:type="dxa" w:w="3312"/>
          </w:tcPr>
          <w:p>
            <w:r>
              <w:t>SUSAN_S_BUNTING_ED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SUSAN-SMITH-BUNTING</w:t>
            </w:r>
          </w:p>
        </w:tc>
        <w:tc>
          <w:tcPr>
            <w:tcW w:type="dxa" w:w="3312"/>
          </w:tcPr>
          <w:p>
            <w:r>
              <w:t>SUSAN_SMITH_BUNTING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TIK-RESULTS</w:t>
            </w:r>
          </w:p>
        </w:tc>
        <w:tc>
          <w:tcPr>
            <w:tcW w:type="dxa" w:w="3312"/>
          </w:tcPr>
          <w:p>
            <w:r>
              <w:t>TIK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Victorias-Secret</w:t>
            </w:r>
          </w:p>
        </w:tc>
        <w:tc>
          <w:tcPr>
            <w:tcW w:type="dxa" w:w="3312"/>
          </w:tcPr>
          <w:p>
            <w:r>
              <w:t>VICTORIA</w:t>
            </w:r>
          </w:p>
        </w:tc>
        <w:tc>
          <w:tcPr>
            <w:tcW w:type="dxa" w:w="3312"/>
          </w:tcPr>
          <w:p>
            <w:r>
              <w:t>alias_match</w:t>
            </w:r>
          </w:p>
        </w:tc>
      </w:tr>
      <w:tr>
        <w:tc>
          <w:tcPr>
            <w:tcW w:type="dxa" w:w="3312"/>
          </w:tcPr>
          <w:p>
            <w:r>
              <w:t>FACE</w:t>
            </w:r>
          </w:p>
        </w:tc>
        <w:tc>
          <w:tcPr>
            <w:tcW w:type="dxa" w:w="3312"/>
          </w:tcPr>
          <w:p>
            <w:r/>
          </w:p>
        </w:tc>
        <w:tc>
          <w:tcPr>
            <w:tcW w:type="dxa" w:w="3312"/>
          </w:tcPr>
          <w:p>
            <w:r>
              <w:t>comparison_source_only</w:t>
            </w:r>
          </w:p>
        </w:tc>
      </w:tr>
    </w:tbl>
    <w:p>
      <w:pPr>
        <w:pStyle w:val="Heading1"/>
      </w:pPr>
      <w:r>
        <w:rPr>
          <w:b/>
        </w:rPr>
        <w:t>Share-readiness assessment</w:t>
      </w:r>
    </w:p>
    <w:p>
      <w:pPr>
        <w:pStyle w:val="ListBullet"/>
      </w:pPr>
      <w:r>
        <w:t>The package is strong enough for controlled interim sharing.</w:t>
      </w:r>
    </w:p>
    <w:p>
      <w:pPr>
        <w:pStyle w:val="ListBullet"/>
      </w:pPr>
      <w:r>
        <w:t>It is not yet a locked final package because several master-layer awarded-vendor crosswalk files remain pending regeneration.</w:t>
      </w:r>
    </w:p>
    <w:p>
      <w:pPr>
        <w:pStyle w:val="ListBullet"/>
      </w:pPr>
      <w:r>
        <w:t>For sharing, the preferred RUDDER files are the v2 corrected needs-supporting file and v2 summary file.</w:t>
      </w:r>
    </w:p>
    <w:p>
      <w:pPr>
        <w:pStyle w:val="ListBullet"/>
      </w:pPr>
      <w:r>
        <w:t>The attached CSVs in this QC batch should travel with the package: QC_EXHIBIT_FILE_INVENTORY, QC_ISSUE_LOG, QC_TOPIC_ALIAS_MAP, QC_BUCKET_GROUP_SUMMARY, and QC_OVERALL_STATS.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